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113</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16 de enero de 2006, al que se acompaña el correspondiente Auto de 14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499-1999) interpuesto por la mercantil Edificaciones Parquehogar 2000 SL contra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22 de marzo de 2001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10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marzo de 2006 (BOE de 8 de abril), la Sección Cuarta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25 de abril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28 de abril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Presidente del Senado, mediante escrito registrado el día 4 de mayo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9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registrado en el Tribunal el día 19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24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 La presente cuestión de inconstitucionalidad, una vez examinada, debe reputarse resuelta por la doctrina que este Tribunal ha establecido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 71.3, en cuanto se conecte con los apartados a) 2 y 3 del art.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w:t>
      </w:r>
    </w:p>
    <w:p w:rsidRPr="00C21FFE" w:rsidR="00AD51A7" w:rsidRDefault="008777C4">
      <w:pPr>
        <w:rPr/>
      </w:pPr>
      <w:r w:rsidRPr="&lt;w:rPr xmlns:w=&quot;http://schemas.openxmlformats.org/wordprocessingml/2006/main&quot;&gt;&lt;w:lang w:val=&quot;es-ES_tradnl&quot; /&gt;&lt;/w:rPr&gt;">
        <w:rPr/>
        <w:t xml:space="preserve">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373-2006,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