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118</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16 de enero de 2006, al que se acompaña el correspondiente Auto de 18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217-2001) interpuesto por Construcciones Arnelio Rosa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18 de abril de 2002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letras d) y e); art. 69, apartado 2 y art. 71.3 en cuanto resulta relacionado con el 69, todos ellos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marzo de 2006 (BOE de 30 de marzo), la Sección Primera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el plazo de quince días pudieran personarse en el proceso y formular alegaciones. 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Senado, mediante escrito registrado el día 30 de marzo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31 de marzo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presentó su escrito de alegaciones el día 4 de abril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5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10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discutidos se acomodan al orden de distribución de competencias emanado de la doctrina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afectados se diferencia el deber de cesión de aprovechamiento urbanístico para los propietarios de suelo urbano consolidado y no consolidado.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 La presente cuestión de inconstitucionalidad es idéntica a la núm. 8450-2005 resuelta recientemente por este Tribunal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378-2006,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