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enero de 2006, al que se acompaña el correspondiente Auto de 25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115-2000) interpuesto por la entidad mercantil Instituto de Construcciones y Edificaciones,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10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