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133</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27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26 de enero de 2006, al que se acompaña el correspondiente Auto de 16 de noviembre de 2005, el Juzgado de lo Contencioso- Administrativo núm. 1 de Albacete plantea cuestión de inconstitucionalidad en relación con los arts. 51.1.2 d) y e), 69.2 y 71.3 de la Ley de las Cortes de Castilla-La Mancha 2/1998, de 4 de junio, de ordenación del territorio y de la actuación urbanística, por posible vulneración del art. 149.1.1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 administrativo (tramitado con el núm. 3-2001) interpuesto por la mercantil Espada López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25 de octubre de 2001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10 de octubre de 2005 se dio traslado a las 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Pr="00C21FFE" w:rsidR="00AD51A7" w:rsidRDefault="008777C4">
      <w:pPr>
        <w:rPr/>
      </w:pPr>
      <w:r w:rsidRPr="&lt;w:rPr xmlns:w=&quot;http://schemas.openxmlformats.org/wordprocessingml/2006/main&quot;&gt;&lt;w:lang w:val=&quot;es-ES_tradnl&quot; /&gt;&lt;/w:rPr&gt;">
        <w:rPr/>
        <w:t xml:space="preserve">De acuerdo con ello, termina el Auto acordando el planteamiento de la cuestión con respecto a la redacción original de los arts. 51 apartado 1.2, letras d) y e); art. 69, apartado 2 y art. 71.3 en cuanto resulta relacionado con el 69, todos ellos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14 de marzo de 2006 (BOE de 30 de marzo), la Sección Segunda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Pr="00C21FFE" w:rsidR="00AD51A7" w:rsidRDefault="008777C4">
      <w:pPr>
        <w:rPr/>
      </w:pPr>
      <w:r w:rsidRPr="&lt;w:rPr xmlns:w=&quot;http://schemas.openxmlformats.org/wordprocessingml/2006/main&quot;&gt;&lt;w:lang w:val=&quot;es-ES_tradnl&quot; /&gt;&lt;/w:rPr&gt;">
        <w:rPr/>
        <w:t xml:space="preserve">También se acordó publicar la incoación de la cuestión en el Boletín Oficial del Estado y en el Diario Oficial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Presidente del Senado, mediante escrito registrado el día 30 de marzo de 2006,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día 31 de marzo de 2006 el Presidente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Abogado del Estado presentó su escrito de alegaciones el día 31de marzo de 2006, solicitando que se le tuviera por personado y parte en nombre del Gobierno y que se dictase en su día Sentencia estimatoria de la cuestión, declarando inconstitucionales y nulos los arts. 51.1.2 e) y 69.2.a.2, y 71.3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5 de abril de 2006 el Fiscal General del Estado formuló sus alegaciones interesando de este Tribunal Constitucional la estimación de la cuestión de inconstitucionalidad por entender que era idéntica a la 8450-2005, dando por reproducidos los fundamentos expuestos en aquella.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12 de abril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Mediante escrito registrado en el Tribunal el día 12 de abril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lo Contencioso-Administrativo núm. 1 de Albacete plantea cuestión de inconstitucionalidad en relación con los arts. 51.1.2 d) y e), 69.2 y 71.3 de la Ley de las Cortes de Castilla-La Mancha 2/1998, de 4 de junio, de ordenación del territorio y de la actuación urbanística, por posible vulneración del art. 149.1.1 CE. La presente cuestión de inconstitucionalidad es idéntica a la núm. 8450-2005 resuelta recientemente por este Tribunal en la STC 365/2006, de 21 de diciembre, en la que hemos declarado la inconstitucionalidad y nulidad, en la medida en que establecen deberes de cesión de suelo dotacional o de aprovechamiento urbanístico para los propietarios de suelo urbano consolidado, de los arts. 51.1.2 d) y e); 69.2 a) y b), y art.  71.3, en cuanto se conecte con los apartados a) 2 y 3 del art. 69.2 de la Ley de las Cortes de Castilla-La Mancha 2/1998. Por ello, la duda de constitucionalidad planteada por el órgano judicial en relación con los preceptos cuestionados en lo que específicamente se refiere a los deberes de cesión para los propietarios de suelo urbano, constitutiva del objeto de la presente cuestión de inconstitucionalidad, ha quedado disipada a la vista del pronunciamiento de la citada STC 365/2006. Ello determina, conforme a reiterada jurisprudencia de este Tribunal (SSTC 387/1993, de 23 de diciembre, FJ único; 72/1997, de 10 de abril, FJ único; 91/1997, de 8 de mayo, FJ único; y AATC 271/2005, de 21 de junio, FJ único; y 272/2005, de 21 de junio, FJ</w:t>
      </w:r>
    </w:p>
    <w:p w:rsidRPr="00C21FFE" w:rsidR="00AD51A7" w:rsidRDefault="008777C4">
      <w:pPr>
        <w:rPr/>
      </w:pPr>
      <w:r w:rsidRPr="&lt;w:rPr xmlns:w=&quot;http://schemas.openxmlformats.org/wordprocessingml/2006/main&quot;&gt;&lt;w:lang w:val=&quot;es-ES_tradnl&quot; /&gt;&lt;/w:rPr&gt;">
        <w:rPr/>
        <w:t xml:space="preserve">2), la desaparición sobrevenida del objeto de la cuestión planteada con respecto a los citados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766-2006,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