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136</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27 de enero de 2006, al que se acompaña el correspondiente Auto de 16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152-2001) interpuesto por la mercantil Construcciones Francisco Carretero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27 de marzo de 2002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Tercera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11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17 de mayo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23 de mayo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24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en el Tribunal el día 29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1 de junio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816-2006,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