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572-2000) interpuesto por la mercantil Cacons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mayo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819-2006,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