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14 de noviembre de 2005,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237-2003) interpuesto por la mercantil Urbana y Desarrollos Alfaro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14 de mayo de 2004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Segunda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30de marzo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821-2006,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