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152/2001) interpuesto por la mercantil Construcciones Francisco Carretero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27 de marzo de 2002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