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 de febrero de 2006,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19/2004) interpuesto por la entidad mercantil Car-4 2000,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28 de julio de 2004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28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953-2006,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