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162</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8 de febrero de 2006, al que se acompaña el correspondiente Auto de 18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39/2003) interpuesto por D. Luis Zafrilla Rodenas contra la desestimación del recurso de reposición planteado en relación con la resolución del Ayuntamiento de Albacete por la que se requiere al pago del importe económico representativo del 10 por 100 del aprovechamiento urbanístico que debe ceder para que le sea concedida licencia de obra de nueva planta. Conclusas las actuaciones se dictó Auto de 30 de mayo de 2003 en virtud del cual quedaban en suspenso en cuanto al plazo establecido para dictar Sentencia hasta tanto no se resolviera el recurso de inconstitucionalidad núm. 3958/98, interpuesto por la Abogacía del Estado contra determinados preceptos de la Ley de las Cortes de Castilla-La Mancha 2/1998. Mediante providencia de 14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24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artículos 51 apartado 1.2 e) y 69 apartado 2 de la Ley de Castilla-La Mancha 2/1998, de 4 de junio, de ordenación del territorio y de la actuación urbanística, por posible vulneración del artículo 149.1.1 CE en relación con el artículo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28 de marzo de 2006 (BOE de 8 de abril), la Sección Primera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Pr="00C21FFE" w:rsidR="00AD51A7" w:rsidRDefault="008777C4">
      <w:pPr>
        <w:rPr/>
      </w:pPr>
      <w:r w:rsidRPr="&lt;w:rPr xmlns:w=&quot;http://schemas.openxmlformats.org/wordprocessingml/2006/main&quot;&gt;&lt;w:lang w:val=&quot;es-ES_tradnl&quot; /&gt;&lt;/w:rPr&gt;">
        <w:rPr/>
        <w:t xml:space="preserve">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su escrito de alegaciones el día 17 de mayo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Presidente del Senado, mediante escrito registrado el día 17 de mayo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23 de mayo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24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registrado en el Tribunal el día 29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1 de junio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 La presente cuestión de inconstitucionalidad, una vez examinada, debe reputarse resuelta por la doctrina que este Tribunal ha establecido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artículo 71.3, en cuanto se conecte con los apartados a) 2 y 3 del artículo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w:t>
      </w:r>
    </w:p>
    <w:p w:rsidRPr="00C21FFE" w:rsidR="00AD51A7" w:rsidRDefault="008777C4">
      <w:pPr>
        <w:rPr/>
      </w:pPr>
      <w:r w:rsidRPr="&lt;w:rPr xmlns:w=&quot;http://schemas.openxmlformats.org/wordprocessingml/2006/main&quot;&gt;&lt;w:lang w:val=&quot;es-ES_tradnl&quot; /&gt;&lt;/w:rPr&gt;">
        <w:rPr/>
        <w:t xml:space="preserve">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1193-2006,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