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18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26/2003) interpuesto por la mercantil Coca 12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22 de octubre de 2003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28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1194-2006,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