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8 de febrero de 2006, al que se acompaña el correspondiente Auto de 16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363-2003) interpuesto por la mercantil “Promolosa,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19 de mayo de 2004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letras d) y e); art. 69, apartado 2 y art. 71.3 en cuanto resulta relacionado con el 69, todos ellos de la Ley de las Cortes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28 de marzo de 2006, solicitando que se le tuviera por personado y parte en nombre del Gobierno y que se dictase en su día Sentencia estimatoria de la cuestión, declarando inconstitucionales y nulos los arts. 51.1.2 d) y e) y 69.2.a.2, y 71.3 de la Ley de las Cortes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1199-2006,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