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12 de diciembre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22/2004) interpuesto por la mercantil Construcciones Gallego y Gracia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Por providencia de 29 de marzo de 2004 quedaban en suspenso las actuaciones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27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