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20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del Procurador de los Tribunales don Julián del Olmo Pastor, en nombre y representación de las Juntas Generales de Vizcaya,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como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este conflicto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las demandadas interesaban la revocación de la Sentencia del Tribunal Superior de Justicia del País Vasco, con declaración de conformidad a Derecho del art. 26 anulado de cada Norma Foral.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 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 Frente a la anterior Sentencia, las Juntas Generales de Vizcaya plantearon con fecha de 22 de febrero de 2005, de un lado, el presente recurso de amparo (núm. 1206-2005), y, de otro, un incidente de nulidad de actuaciones ante el Tribunal Supremo, al amparo del art. 241 LOPJ, que fue desestimado por Auto de 4 de abril de 2005, contra el cual se interpuso, a su vez, un nuevo recurso de amparo (núm. 3951-2005).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imputa a la resolución judicial las lesiones de los derechos al juez ordinario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TCE con el fin de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126-1980, Salonia/Poidomani e Giglio). </w:t>
      </w:r>
    </w:p>
    <w:p w:rsidRPr="00C21FFE" w:rsidR="00AD51A7" w:rsidRDefault="008777C4">
      <w:pPr>
        <w:rPr/>
      </w:pPr>
      <w:r w:rsidRPr="&lt;w:rPr xmlns:w=&quot;http://schemas.openxmlformats.org/wordprocessingml/2006/main&quot;&gt;&lt;w:lang w:val=&quot;es-ES_tradnl&quot; /&gt;&lt;/w:rPr&gt;">
        <w:rPr/>
        <w:t xml:space="preserve">En efecto, para las Juntas Generales de Vizcaya, la cuestión prejudicial prevista en el art. 234 TCE,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TCE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con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TCE, tanto más cuando el órgano judicial interpreta y aplica de forma errónea el Derecho comunitario, lo que demuestra la arbitrariedad injusta y el exceso de jurisdicción en que incurre al no plantear la citada cuestión prejudicial. </w:t>
      </w:r>
    </w:p>
    <w:p w:rsidRPr="00C21FFE" w:rsidR="00AD51A7" w:rsidRDefault="008777C4">
      <w:pPr>
        <w:rPr/>
      </w:pPr>
      <w:r w:rsidRPr="&lt;w:rPr xmlns:w=&quot;http://schemas.openxmlformats.org/wordprocessingml/2006/main&quot;&gt;&lt;w:lang w:val=&quot;es-ES_tradnl&quot; /&gt;&lt;/w:rPr&gt;">
        <w:rPr/>
        <w:t xml:space="preserve">Para fundamentar sus quejas, parten las Juntas Generales de Vizcaya analizando si, conforme a la jurisprudencia comunitaria, se da alguna de las excepciones que permitirían al Tribunal Supremo no plantear una cuestión prejudicial previa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TCE,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Pr="00C21FFE" w:rsidR="00AD51A7" w:rsidRDefault="008777C4">
      <w:pPr>
        <w:rPr/>
      </w:pPr>
      <w:r w:rsidRPr="&lt;w:rPr xmlns:w=&quot;http://schemas.openxmlformats.org/wordprocessingml/2006/main&quot;&gt;&lt;w:lang w:val=&quot;es-ES_tradnl&quot; /&gt;&lt;/w:rPr&gt;">
        <w:rP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 Pues bien, dado que el Tribunal Supremo se separa del criterio de la selectividad utilizado por la Comisión, para la parte demandante está introduciendo al menos una duda en la aplicación del Derecho comunitario donde hasta ese momento antes no existía, lo que le obligaba a la remisión prejudicial conforme al art. 234 TCE. </w:t>
      </w:r>
    </w:p>
    <w:p w:rsidRPr="00C21FFE" w:rsidR="00AD51A7" w:rsidRDefault="008777C4">
      <w:pPr>
        <w:rPr/>
      </w:pPr>
      <w:r w:rsidRPr="&lt;w:rPr xmlns:w=&quot;http://schemas.openxmlformats.org/wordprocessingml/2006/main&quot;&gt;&lt;w:lang w:val=&quot;es-ES_tradnl&quot; /&gt;&lt;/w:rPr&gt;">
        <w:rPr/>
        <w:t xml:space="preserve">En consecuencia, entiende la recurrente en amparo que el Tribunal Supremo carece de apoyo alguno para justificar su particular criterio de la “selectividad, tanto más cuando ha ignorado también el contenido de la Comunicación de la Comisión 98/C 384/2003 relativa a la aplicación de las normas sobre ayudas de Estado a las medidas relacionadas con la fiscalidad directa de las empresas, pues aplica el art. 88 TCE a unas medidas fiscales que no constituyen ayudas de Estado en el sentido del art. 87 TCE, mediante una interpretación del todo irrazonable que parte de la premisa arbitraria y equivocada del argumento de “selectividad” .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Pr="00C21FFE" w:rsidR="00AD51A7" w:rsidRDefault="008777C4">
      <w:pPr>
        <w:rPr/>
      </w:pPr>
      <w:r w:rsidRPr="&lt;w:rPr xmlns:w=&quot;http://schemas.openxmlformats.org/wordprocessingml/2006/main&quot;&gt;&lt;w:lang w:val=&quot;es-ES_tradnl&quot; /&gt;&lt;/w:rPr&gt;">
        <w:rPr/>
        <w:t xml:space="preserve">Dicho lo que antecede, entiende la parte actora que la Sentencia impugnada ha incurrido en un error patente en la interpretación del art. 88.3 TCE, pues se aplica por el Tribunal Supremo a “medidas que indiciariamente pueden constituir ayudas de Estado” (fundamento jurídico 18 de la Sentencia), mientras que el art. 87 TCE se refiere sólo a “ayudas” y no a medidas que “pueden constituir ayudas” , ni a medidas que “inicialmente constituyan ayudas” . El régimen del art. 87 y 88 TCE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Pr="00C21FFE" w:rsidR="00AD51A7" w:rsidRDefault="008777C4">
      <w:pPr>
        <w:rPr/>
      </w:pPr>
      <w:r w:rsidRPr="&lt;w:rPr xmlns:w=&quot;http://schemas.openxmlformats.org/wordprocessingml/2006/main&quot;&gt;&lt;w:lang w:val=&quot;es-ES_tradnl&quot; /&gt;&lt;/w:rPr&gt;">
        <w:rPr/>
        <w:t xml:space="preserve">En suma, concluye la parte demandante, la Sala del Tribunal Supremo hubiera debido plantear cuestión prejudicial al TJCE sobre la interpretación o bien del concepto de ayuda existente a que se refieren diversos incisos de la letra b) del art. 1 del Reglamento 659/1999, o bien del art. 88 TCE, apartado 3, última frase en el sentido de, por una parte, su aplicabilidad a medidas que pueden constituir ayudas, y, por otra, su aplicabilidad al supuesto de estar en presencia de ayudas existentes en el sentido del art. 88 TCE, apartado 1 y del art. 1 del Reglamento 659/1999. La obligación de esta remisión judicial se inscribe, a su juicio, en la lógica del derecho al juez ordinario predeterminado y, como en el Derecho alemán (que considera que el TJCE es un juez legal para las partes en el sentido del art. 101 de la Constitución alemana), el caso español tras la STC 58/2004 es todo un ejemplo de protección. </w:t>
      </w:r>
    </w:p>
    <w:p w:rsidRPr="00C21FFE" w:rsidR="00AD51A7" w:rsidRDefault="008777C4">
      <w:pPr>
        <w:rPr/>
      </w:pPr>
      <w:r w:rsidRPr="&lt;w:rPr xmlns:w=&quot;http://schemas.openxmlformats.org/wordprocessingml/2006/main&quot;&gt;&lt;w:lang w:val=&quot;es-ES_tradnl&quot; /&gt;&lt;/w:rPr&gt;">
        <w:rPr/>
        <w:t xml:space="preserve">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22 de julio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16 de septiembre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Pr="00C21FFE" w:rsidR="00AD51A7" w:rsidRDefault="008777C4">
      <w:pPr>
        <w:rPr/>
      </w:pPr>
      <w:r w:rsidRPr="&lt;w:rPr xmlns:w=&quot;http://schemas.openxmlformats.org/wordprocessingml/2006/main&quot;&gt;&lt;w:lang w:val=&quot;es-ES_tradnl&quot; /&gt;&lt;/w:rPr&gt;">
        <w:rPr/>
        <w:t xml:space="preserve">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Bizkaia)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las Juntas Generales de Vizcaya,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23 de septiembre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 44.1.a) LOTC. Incumplido en este caso el requisito procesal mencionado procede, pues, la inadmisión a trámite de la demanda de amparo por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No obstante la anterior precisión, pasa el Fiscal a analizar el fondo destacando, antes de nada, que toda la argumentación de la demandante versa sobre la interpretación y aplicación del Derecho comunitario, cuando, conforme a la doctrina de este Tribunal Constitucional (cita la STC 203/1996, FJ 2) no le corresponde controlar la adecuación de la actividad de los poderes públicos nacionales al Derecho comunitario, pues este control compete a los órganos de la jurisdicción ordinaria en cuanto aplicadores que son del ordenamiento comunitario y, en su caso, al Tribunal de Justicia de las Comunidades Europeas. </w:t>
      </w:r>
    </w:p>
    <w:p w:rsidRPr="00C21FFE" w:rsidR="00AD51A7" w:rsidRDefault="008777C4">
      <w:pPr>
        <w:rPr/>
      </w:pPr>
      <w:r w:rsidRPr="&lt;w:rPr xmlns:w=&quot;http://schemas.openxmlformats.org/wordprocessingml/2006/main&quot;&gt;&lt;w:lang w:val=&quot;es-ES_tradnl&quot; /&gt;&lt;/w:rPr&gt;">
        <w:rPr/>
        <w:t xml:space="preserve">A continuación, sintetiza el Ministerio Fiscal la doctrina general sobre el alcance de la función del Tribunal Constitucional en relación con el derecho al Juez ordinario predeterminado por la ley (art. 24. 2 CE), concluyendo que este derecho configura la garantía de que el órgano judicial llamado a conocer del asunto haya sido creado previamente por la norma, esté investido de jurisdicción y competencia antes del hecho que motiva su actuación, y su régimen orgánico no le permita ser calificado de especial o excepcional (entre otras muchas, SSTC 47/1983, 148/1987, 39/1994 y 6/1997). Ahora bien, a su juicio, esta garantía no supone el derecho a un Juez determinado en concreto (STC 97/1987, FJ 4), ni excluye, en principio, la posibilidad de establecer reglas especiales de competencia en la distribución de los asuntos entre los distintos órganos judiciales, por lo que el contenido de este derecho fundamental ni ampara litigios competenciales sobre cuál sea el Juez ordinario que deba pronunciarse sobre un asunto concreto, ni comprende el derecho a que las normas sobre competencia de Tribunales se interpreten de una determinada forma o en un determinado sentido. Por esta razón, en estos supuestos, al Tribunal Constitucional únicamente le compete examinar si la aplicación e interpretación de las normas de competencia que ha llevado a cabo un órgano judicial es o no manifiestamente irrazonable y arbitraria (STC 148/1994 y ATC 262/1994). No debe confundirse, por tanto, un posible problema o cuestión de competencia entre órganos judiciales con el de la predeterminación del Juez legal que la Constitución garantiza en el art. 24.2 CE. En suma, la decisión sobre el Juez competente en una determinada materia es una pretensión que no es susceptible de convertirse en el objeto de un recurso de amparo (ATC 1309/1988, de 12 de diciembre). </w:t>
      </w:r>
    </w:p>
    <w:p w:rsidRPr="00C21FFE" w:rsidR="00AD51A7" w:rsidRDefault="008777C4">
      <w:pPr>
        <w:rPr/>
      </w:pPr>
      <w:r w:rsidRPr="&lt;w:rPr xmlns:w=&quot;http://schemas.openxmlformats.org/wordprocessingml/2006/main&quot;&gt;&lt;w:lang w:val=&quot;es-ES_tradnl&quot; /&gt;&lt;/w:rPr&gt;">
        <w:rPr/>
        <w:t xml:space="preserve">Por otro lado, destaca el Fiscal, la demandante de amparo centra la vulneración del derecho fundamental en cuestión en la interpretación de la jurisprudencia del Tribunal de Justicia sobre los supuestos en que no es necesario plantearla, argumentando que no concurre ninguno de esos casos. Sin embargo, no puede soslayarse que las disposiciones del Tratado constitutivo de la Comunidad Europea que establecen cuándo debe plantearse al Tribunal de Justicia la cuestión prejudicial de Derecho comunitario equivalen a las disposiciones que establecen la competencia de los órganos judiciales, por lo que su interpretación corresponde a los órganos judiciales que tienen que aplicarla, siendo la función del Tribunal Constitucional únicamente la de controlar la razonabilidad de la decisión adoptada. </w:t>
      </w:r>
    </w:p>
    <w:p w:rsidRPr="00C21FFE" w:rsidR="00AD51A7" w:rsidRDefault="008777C4">
      <w:pPr>
        <w:rPr/>
      </w:pPr>
      <w:r w:rsidRPr="&lt;w:rPr xmlns:w=&quot;http://schemas.openxmlformats.org/wordprocessingml/2006/main&quot;&gt;&lt;w:lang w:val=&quot;es-ES_tradnl&quot; /&gt;&lt;/w:rPr&gt;">
        <w:rPr/>
        <w:t xml:space="preserve">Posteriormente, pasa el Ministerio Fiscal a analizar la STC 58/2004 —citada por la demandante de amparo en apoyo de sus tesis— para llegar a la conclusión de que no es aplicable al presente asunto. En efecto, para el Fiscal en esta Sentencia se recoge la doctrina general de que el art. 234 TCE forma parte del Ordenamiento interno, configurando la cuestión prejudicial prevista en dicho precepto un instrumento más al servicio de los Jueces y Tribunales para la depuración del Ordenamiento jurídico. Destaca igualmente que la Sentencia citada (en concreto, su FJ 11) precisa que la utilización de este instrumento —por un eventual juicio de incompatibilidad de una norma legal interna con el Derecho comunitario— no depende exclusivamente de un juicio subjetivo del aplicador de Derecho y, por esta razón, concluye la citada resolución (en su FJ 13) que en aquel supuesto, al haber apreciado el juez de forma aislada y ajena al resto de la doctrina judicial recaída en la materia (que había apreciado la compatibilidad entre la tasa fiscal del juego y el art. 33 del sexta directiva) que la norma interna analizada contradecía el Derecho comunitario, llegando así a una conclusión contraria a la expresada por los restantes órganos judiciales, estaba introduciendo una duda en la aplicación del Derecho comunitario donde hasta ese momento no existía. </w:t>
      </w:r>
    </w:p>
    <w:p w:rsidRPr="00C21FFE" w:rsidR="00AD51A7" w:rsidRDefault="008777C4">
      <w:pPr>
        <w:rPr/>
      </w:pPr>
      <w:r w:rsidRPr="&lt;w:rPr xmlns:w=&quot;http://schemas.openxmlformats.org/wordprocessingml/2006/main&quot;&gt;&lt;w:lang w:val=&quot;es-ES_tradnl&quot; /&gt;&lt;/w:rPr&gt;">
        <w:rPr/>
        <w:t xml:space="preserve">Sin embargo, para el Ministerio Fiscal, en el caso objeto de presente recurso de amparo no se dan las circunstancias que dieron lugar a la conclusión de la STC 58/2004, en primer lugar, porque no existe aquella doctrina judicial precedente y uniforme en sentido contrario al que mantiene el Tribunal Supremo en la Sentencia aquí recurrida. Y, en segundo lugar, porque en la Sentencia recurrida se estudia la naturaleza de las Normas Forales (FD 3), se pone en relación el régimen de las ayudas de Estado con el principio de igualdad (FD 11) y con los principios de libre competencia y libertad de establecimiento en la Unión Europea (FD 12), se estudia el régimen de las ayudas de Estado (FD 14) y, en particular, la figura de las exenciones tributarias como una forma de ayuda. Desde esta primera aproximación, entonces, a juicio del Fiscal, no parece que existan las infracciones constitucionales que se denuncian en la demanda de amparo, aunque precisa que esta conclusión queda a expensas de lo que el Tribunal Supremo resuelva en el incidente de nulidad instado por la demandante y pendiente de resolución. </w:t>
      </w:r>
    </w:p>
    <w:p w:rsidRPr="00C21FFE" w:rsidR="00AD51A7" w:rsidRDefault="008777C4">
      <w:pPr>
        <w:rPr/>
      </w:pPr>
      <w:r w:rsidRPr="&lt;w:rPr xmlns:w=&quot;http://schemas.openxmlformats.org/wordprocessingml/2006/main&quot;&gt;&lt;w:lang w:val=&quot;es-ES_tradnl&quot; /&gt;&lt;/w:rPr&gt;">
        <w:rPr/>
        <w:t xml:space="preserve">En suma, el Fiscal interesa, de acuerdo con lo dispuesto en los arts. 80 y 86.1 LOTC, en relación con el art. 245 b) LOPJ, que se dicte Auto de inadmisión de la demanda de amparo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24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23 de febrero de 2006, la representación procesal de la parte demandante ponía en conocimiento de este Tribunal el grado de conflictividad creado por la Sentencia del Tribunal Supremo de 9 de diciembre de 2004, impugnada en el presente recurso de amparo, que ha conducido a las Comunidades Autónomas de Castilla y León y de La Rioja, así como a diversos agentes sociales (Federación de Empresarios de La Rioja y UGT-La Rioja), a recurrir cualesquiera disposiciones generales tributarias adoptadas por el Territorio Histórico, diferentes de las del territorio de régimen común. Así, tras identificar varios recursos contencioso-administrativos que tienen por objeto diferentes disposiciones forales menciona, en particular, tanto el recurso núm. 65-2005 como el incidente de ejecución del recurso núm. 3753-1993, en los que se cuestiona, en concreto, “el tipo de gravamen del 32,6% del Impuesto sobre sociedades en el Territorio Histórico establecido por la Diputación Foral de Bizkaia mediante Decreto Foral Normativo 1/2005, de fecha 30 de diciembre de 2005 (tipo impositivo que constituye la pieza esencial y manifestación más clara del autogobierno fiscal de los Territorios Históricos del País Vasco)” . A juicio de la parte actora “se está utilizando la sentencia aquí recurrida para realmente cuestionar la “diversidad foral” reconocida y amparada por la disposición adicional primera de la Constitución Española y la Ley 12/2002 de concierto económico con el País Vasco (art. 41.2.a)”. </w:t>
      </w:r>
    </w:p>
    <w:p w:rsidRPr="00C21FFE" w:rsidR="00AD51A7" w:rsidRDefault="008777C4">
      <w:pPr>
        <w:rPr/>
      </w:pPr>
      <w:r w:rsidRPr="&lt;w:rPr xmlns:w=&quot;http://schemas.openxmlformats.org/wordprocessingml/2006/main&quot;&gt;&lt;w:lang w:val=&quot;es-ES_tradnl&quot; /&gt;&lt;/w:rPr&gt;">
        <w:rPr/>
        <w:t xml:space="preserve">Basándose en lo anterior, concluye la parte demandante que las decisiones que está adoptando el Tribunal Superior de Justicia del País Vasco en relación con las normas forales “que se limitan a aplicar la doctrina del Tribunal Supremo que expresa en su Sentencia de 9 de diciembre de 2004”, han logrado crear, en una materia tan sensible como la tributaria, un clima de máxima e insoportable inseguridad jurídica entre los contribuyentes vizcaínos” , por lo que suplica “la admisión a trámite, lo antes posible, de los recursos interpuestos contra una resolución patentemente errónea y arbitraria” que permita “que el TSJPV reflexionara sobre sus anteriores decisiones” . Además, “esta admisión a trámite supondría para las Instituciones forales afectadas un importante y justo mensaje ante el cúmulo de descalificaciones, injustas y gratuitas (“incumplimiento de lo decidido por el Alto Tribunal”, “uso abusivo de sus potestades”, “uso arbitrario de las facultades públicas con una contumaz violación del Derecho”, “burla jurídica”, etcétera, etcétera..), que vienen soportando cada vez que ejercitan su potestad normativa”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diligencia de ordenación de la Sección Segunda de 1 de marzo de 2006 se tuvo por recibido el anterior escrito y documentos que le acompañan.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de 22 de septiembre de 2006, la representación procesal de la parte demandante presenta un nuevo escrito poniendo en conocimiento de este Tribunal las Sentencias del TJCE, Gran Sala, de 6 de septiembre de 2006 (en el asunto C-88/2003), en lo que se refiere a la interpretación y aplicación correcta del concepto de ayuda de Estado en el sentido del art. 87.1 TCE, y de 13 de junio de 2006 (asunto C-173/2003), relativa a la aplicación del art. 88.3 TCE por un órgano jurisdiccional interno sólo y exclusivamente si previamente se ha determinado con total certeza —en su caso, tras recurrir al mecanismo de cooperación judicial instituido por el art. 234 TCE— que está en presencia de una ayuda de Estado en el sentido del referido art. 87.1 TCE. Se trata, pues, de dos resoluciones que, a juicio de la actora demuestran que, de haber utilizado el Tribunal Supremo el mecanismo de la remisión prejudicial al TJCE antes de adoptar la Sentencia recurrida, nunca hubiera podida resolver en el sentido anulatorio en que lo hizo. </w:t>
      </w:r>
    </w:p>
    <w:p w:rsidRPr="00C21FFE" w:rsidR="00AD51A7" w:rsidRDefault="008777C4">
      <w:pPr>
        <w:rPr/>
      </w:pPr>
      <w:r w:rsidRPr="&lt;w:rPr xmlns:w=&quot;http://schemas.openxmlformats.org/wordprocessingml/2006/main&quot;&gt;&lt;w:lang w:val=&quot;es-ES_tradnl&quot; /&gt;&lt;/w:rPr&gt;">
        <w:rPr/>
        <w:t xml:space="preserve">Dicho lo que antecede, y tras analizar cada una las Sentencias del TJCE citadas, la Diputación foral recurrente insiste una vez más en que la Sentencia impugnada incurrió en un exceso de jurisdicción, invadiendo las competencias del TJCE, al interpretar y aplicar a su antojo el Derecho comunitario, lo que incluso implica un incumplimiento por el Estado miembro (Poder Judicial) de lo dispuesto en el art. 292 TCE, en relación con el deber de lealtad que resulta del art. 10 TCE. Y concluye afirmando que de no repararse por este Tribunal este manifiesto incumplimiento por parte del Tribunal Supremo, con la admisión y posterior estimación el presente recurso, el Estado puede incurrir en responsabilidad (por ejemplo, Sentencias del TJCE de 30 de septiembre de 2003, Kóbler, asunto C-224/2001, y de 13 de junio de 2006, asunto C-173/2003), razón por la cual termina suplicando la resolución lo antes posible, con admisión del recurso de amparo para, en su día, conceder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2 de octubre de 2006, la Sección segunda acordó tener por recibido el anterior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TCE, para inaplicar las Normas Forales anuladas por la Sentencia objeto del presente recurso de amparo.</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en el trámite de alegaciones previsto en el art. 50.3 LOTC, solicita la inadmisión del recurso de amparo por falta de agotamiento de la vía judicial previa, al haberse interpuesto ante la Sala Tercera del Tribunal Supremo, simultáneamente al recurso de amparo, un incidente de nulidad de actuaciones. Además, señala que el objeto del recurso de amparo es únicamente un problema de competencia entre órganos judiciales (provocado por la necesidad o no de plantear una cuestión prejudicial), respecto del cual al Tribunal Constitucional sólo le corresponde controlar la razonabilidad de la interpretación y aplicación que de las normas de competencia ha efectuado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 a) LOTC, en relación con el art. 44.1 a) LOTC. A este respecto destaca el Fiscal que la parte demandante ha simultaneado el presente recurso de amparo (interpuesto con fecha de 22 de febrero de 2005) con el planteamiento de un incidente de nulidad de actuaciones al amparo del art. 241 de la Ley Orgánica del Poder Judicial (LOPJ) ante el Tribunal Supremo (presentado el mismo día 22 de febrero de 2005), por lo que, a su juicio, es patente que no se había agotado la vía judicial previa al momento de impetrar el auxilio de este Tribunal.</w:t>
      </w:r>
    </w:p>
    <w:p w:rsidRPr="00C21FFE" w:rsidR="00AD51A7" w:rsidRDefault="008777C4">
      <w:pPr>
        <w:rPr/>
      </w:pPr>
      <w:r w:rsidRPr="&lt;w:rPr xmlns:w=&quot;http://schemas.openxmlformats.org/wordprocessingml/2006/main&quot;&gt;&lt;w:lang w:val=&quot;es-ES_tradnl&quot; /&gt;&lt;/w:rPr&gt;">
        <w:rP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Pr="00C21FFE" w:rsidR="00AD51A7" w:rsidRDefault="008777C4">
      <w:pPr>
        <w:rPr/>
      </w:pPr>
      <w:r w:rsidRPr="&lt;w:rPr xmlns:w=&quot;http://schemas.openxmlformats.org/wordprocessingml/2006/main&quot;&gt;&lt;w:lang w:val=&quot;es-ES_tradnl&quot; /&gt;&lt;/w:rPr&gt;">
        <w:rPr/>
        <w:t xml:space="preserve">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y 249/2006, de 24 de julio, FJ 2).</w:t>
      </w:r>
    </w:p>
    <w:p w:rsidRPr="00C21FFE" w:rsidR="00AD51A7" w:rsidRDefault="008777C4">
      <w:pPr>
        <w:rPr/>
      </w:pPr>
      <w:r w:rsidRPr="&lt;w:rPr xmlns:w=&quot;http://schemas.openxmlformats.org/wordprocessingml/2006/main&quot;&gt;&lt;w:lang w:val=&quot;es-ES_tradnl&quot; /&gt;&lt;/w:rPr&gt;">
        <w:rPr/>
        <w:t xml:space="preserve">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y 269/2006, de 11 de septiembre, FJ 2].</w:t>
      </w:r>
    </w:p>
    <w:p w:rsidRPr="00C21FFE" w:rsidR="00AD51A7" w:rsidRDefault="008777C4">
      <w:pPr>
        <w:rPr/>
      </w:pPr>
      <w:r w:rsidRPr="&lt;w:rPr xmlns:w=&quot;http://schemas.openxmlformats.org/wordprocessingml/2006/main&quot;&gt;&lt;w:lang w:val=&quot;es-ES_tradnl&quot; /&gt;&lt;/w:rPr&gt;">
        <w:rPr/>
        <w:t xml:space="preserve">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y 188/2006, de 19 de junio, FJ 3, por ejemplo),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habiendo interpuesto la parte demandante el presente recurso de amparo sin esperar a la resolución en la vía judicial ordinaria del incidente de nulidad de actuaciones presentado contra la resolución judicial objeto del actual proceso constitucional, y sin perjuicio del eventual resultado de dicho incidente, debe apreciarse su carácter prematuro y, en consecuencia, declarar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a), en relación con el art. 44.1 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