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4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julio de 2006 la Procuradora de los Tribunales doña Victoria Pérez-Mulet y Díez-Picazo, en nombre y representación de don Miguel A. Dalmau Lloret, interpuso recurso de amparo contra los Autos de 15 de mayo y 3 de julio de 2006, desestimatorio este último del recurso de súplica formulado contra el anterior, dictados por la Sección Segunda de la Audiencia Provincial de Alicante en el marco de la Ejecutoria 44/2002, proveniente del procedimiento abreviado núm. 46-2000 del Juzgado de Instrucción núm. 4 de Denia.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Sentencia de conformidad de 25 de enero de 2002 la Audiencia condenó al recurrente, como autor de un delito contra la salud pública, a la pena de tres años de prisión y multa de 243.423 ptas, accesorias y costas procesales. Notificada la Sentencia el ahora recurrente en amparo solicitó, mediante escrito de 11 de febrero de 2002, la suspensión de la pena privativa de libertad al amparo de lo dispuesto en el art. 87.1 CP, argumentando que el delito lo había cometido a causa de dependencia de las drogas. Tras diversas vicisitudes, por providencia de 10 de marzo de 2006 se ordenó la busca y captura del recurrente y su ingreso en prisión para el cumplimiento de la pena impuesta, ingreso que se produjo el 10 de mayo del mismo año. Por Auto de 15 de mayo de 2006 la Audiencia acordó denegar la suspensión solicitada, razonando que “con anterioridad ya disfrutó del beneficio de la suspensión de la ejecución de una pena privativa de libertad impuesta anteriormente y, lejos de aprovechar dicha oportunidad para rehabilitarse y alejarse del delito, volvió a delinquir en pleno periodo de suspensión”. Contra esta resolución interpuso recurso de súplica, aduciendo, entre otros extremos, que había seguido un tratamiento de desintoxicación con resultado satisfactorio, disfrutando en el momento de una actividad familiar, laboral y social estable. La Audiencia dictó el 3 de julio de 2006 Auto por el que confirmó la decisión desestimatoria del beneficio solicitado, reproduciendo en esencia los argumentos de su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y de conformidad con lo establecido en el art. 56.1 LOTC, en la demanda de amparo se solicita que se acuerde la suspensión de la ejecución de las resoluciones impugnadas, en particular por lo que respecta al ingreso en prisión ya acordado, en la medida en que, de no accederse a esta petición, se ocasionaría al recurrente un perjuicio que haría perder al amparo su finalidad. Invocando la doctrina del Tribunal en esta materia se manifiesta que, si se compara la duración de la pena impuesta (tres años) y el tiempo que lleva ingresado el recurrente con el tiempo que requiere la tramitación de un proceso como el presente, ha de concluirse que de no suspenderse su ejecución se ocasionaría un perjuicio irreparable al señor Dalmau Lloret, no suponiendo la suspensión perjuicio de los intereses generales o públicos ni lesión a los derechos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2007 la Sala Segunda de este Tribunal acordó la admisión a trámite del recurso de amparo y ordenó que se formara la oportuna pieza separada para la tramitación del incidente de suspensión, concediendo por providencia de igual fecha, de conformidad con lo dispuesto en el art. 56 LOTC, un plazo común de tres días a la parte recurrente y al Ministerio Público para que aleguen lo que estimen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evacuó el trámite de alegaciones conferido mediante escrito registrado el 7 de mayo de 2007. En dicho escrito pone de relieve que resulta procedente acceder a la suspensión de las resoluciones judiciales recurridas en amparo. A tal fin razona que la doctrina de este Tribunal (así, ATC 227/1999) entiende que ha de acordarse la medida interesada cuando en otro caso pudiera producirse “un perjuicio que haría perder al amparo su finalidad”, no ocasionándose en el presente caso una perturbación grave a los intereses generales ni afectándose a los derechos de un tercero. Para llegar a tal conclusión tiene en cuenta el Ministerio Público que la pena impuesta en este caso es una pena privativa de libertad, por lo que, de no acordarse dicha suspensión, sería ineficaz un eventual fallo estimatorio en el proceso constitucional, quedando éste “sin sustantividad propia”.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mayo de 2007 se registró también en este Tribunal el escrito de alegaciones del solicitante de amparo. En dicho escrito se reitera la petición de suspensión reflejada en el escrito de demanda, dando por reproducidas las alegaciones contenidas en su otrosí sobre la necesidad de acordar dicha medida respecto al ingreso en prisión del recurrente con el fin de evitar que el amparo pueda perder su finalidad. Por otra parte se recuerda que los hechos enjuiciados en su día ocurrieron en el año 1999, cuando el recurrente tenía 20 años, que la condena fue de conformidad, por la tenencia de una ínfima cantidad de cocaína, que el demandante de amparo ha seguido tratamiento de deshabituación, que no existe responsabilidad civil y que se haya satisfecho la multa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previéndose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(entre otros, AATC 64/2001, de 26 de marzo, y 4/2006, de 16 de enero).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 LOTC. En este sentido por perjuicio irreparable se ha de entender aquel que provoque que el restablecimiento del recurrente en el derecho constitucional vulnerado resulte tardío y convierta el amparo en meramente ilusorio y nominal (por todos, AATC 170/2001, de 22de junio; 9/2003, de 20 de enero, y 338/2005, de 26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en el análisis del caso al que se refiere la presente petición de suspensión, vista la naturaleza de la pena que se ha impuesto al recurrente (tres años de prisión), conviene recordar que este Tribunal ha declarado que procederá en principio acordar la suspensión si las resoluciones judiciales afectan a bienes o derechos del recurrente en amparo de imposible y muy difícil sustitución a su estado anterior, como ocurre en el supuesto de las condenas a penas de privación de libertad, si bien este criterio general tampoco es absoluto, pues nuestro enjuiciamiento también debe ponderar en dichos supuestos otras circunstancias relevantes,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todas ellas cobra especial relevancia la referida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140/2004, de 26 de abril; 334/2004, de 13 de septiembre, y 349/2004, de 20 de septiembre). La atención al criterio de la eficacia reparadora —al menos parcial— del recurso de amparo con respecto a las condenas de este carácter también ha llevado a este Tribunal a valorar el tiempo que resta de cumplimiento de la pena privativa de libertad en relación con la previsible duración del proceso de amparo (Así, ATC 529/2004, de 20 de diciembre).</w:t>
      </w:r>
    </w:p>
    <w:p w:rsidRPr="00C21FFE" w:rsidR="00AD51A7" w:rsidRDefault="008777C4">
      <w:pPr>
        <w:rPr/>
      </w:pPr>
      <w:r w:rsidRPr="&lt;w:rPr xmlns:w=&quot;http://schemas.openxmlformats.org/wordprocessingml/2006/main&quot;&gt;&lt;w:lang w:val=&quot;es-ES_tradnl&quot; /&gt;&lt;/w:rPr&gt;">
        <w:rPr/>
        <w:t xml:space="preserve">En relación al asunto sometido a nuestra consideración, en el cual la demanda se dirige frente a lo que se considera una denegación arbitraria del beneficio de la suspensión de la condena, también hemos afirmado que “es evidente que la duración de la pena es una circunstancia que adquiere especial significación, pues, cuando se trate de penas privativas de libertad de corta duración es posible que, para el caso de no suspenderse la ejecución de la resolución recurrida, el amparo pueda perder su finalidad y el daño para el derecho fundamental invocado sea ya irreparable” (ATC 283/2000,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Conjugados todos estos criterios procede, en el presente caso, conceder la suspensión solicitada. En efecto, no obstante la naturaleza de los hechos por los que se ha condenado al recurrente y su trascendencia social (delito contra la salud pública), la pena impuesta por la Sección Segunda de la Audiencia Provincial de Alicante (tres años de prisión) en Sentencia de conformidad de 25 de enero de 2002 era la mínima legalmente prevista en la redacción vigente del art. 368 CP (de tres a nueve años) para la ejecución de los actos en él contemplados en relación con “sustancias o productos que causen grave daño a la salud”. Y, fundamentalmente, si se compara la duración de la pena privativa de libertad que resta por cumplir al demandante (ingresó en el Centro penitenciario de Alicante tras su detención el día 10 de mayo de 2006) con el tiempo que requiere normalmente la tramitación de un proceso de amparo como el presente, resultaría que, de no acordarse la suspensión, podía llegar a ocasionársele un perjuicio irreparable que dejara en entredicho la eficacia de un eventual fallo estimatorio de la demanda, por cuanto la pena privativa de libertad podría estar a punto de cumplirse o haberse ya cumplido en su totalidad.</w:t>
      </w:r>
    </w:p>
    <w:p w:rsidRPr="00C21FFE" w:rsidR="00AD51A7" w:rsidRDefault="008777C4">
      <w:pPr>
        <w:rPr/>
      </w:pPr>
      <w:r w:rsidRPr="&lt;w:rPr xmlns:w=&quot;http://schemas.openxmlformats.org/wordprocessingml/2006/main&quot;&gt;&lt;w:lang w:val=&quot;es-ES_tradnl&quot; /&gt;&lt;/w:rPr&gt;">
        <w:rPr/>
        <w:t xml:space="preserve">Por otra parte, atendidas todas las circunstancias concurrentes en el caso, no se aprecia que acceder a la suspensión solicitada ocasione una lesión específica y grave de intereses generales (más allá de aquella que de por sí produce la no ejecución de un fallo judicial), o de derechos fundamentales o libertades públicas de terceros, no teniendo que hacer frente el recurrente a responsabilidad civil alguna en virtud de la Sentencia dictada y habiendo hecho efectivo el abono de la pena de multa también impuesta. Respecto del riesgo de eludir la acción de la Justicia, criterio relevante a la hora de hacer esta ponderación conforme hemos visto, no se hace referencia a él ni se infiere su existencia de las resoluciones judiciales adoptadas en el curso de la presente ejecutoria, habiendo permanecido además el recurrente en libertad desde la firmeza de la Sentencia condenatoria (Auto de 6 de mayo de 2002) hasta su ingreso en prisión el día 10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resulta evidente que, aun cuando el objeto del presente recurso de amparo se circunscribe a la impugnación de los Autos denegatorios de la suspensión solicitada, de 15 de mayo y 3 de julio de 2006, es lo cierto que la eficacia de esta medida en relación con la salvaguarda del derecho fundamental a la libertad personal requiere, no sólo la suspensión de la eficacia de lo dispuesto en dichas resoluciones judiciales, sino también la de la ejecución de la Sentencia condenatoria en lo concerniente al cumplimiento de la pena privativa de libertad (adoptando este mismo criterio, AATC 283/2000, de 11 de diciembre, y 146/2006, de 24 de abril, FJ 2 y 3, respectivamente).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pena privativa de libertad impuesta por la Sentencia de la Sección Segunda de la Audiencia Provincial de Alicante de 25 de enero de 2002, así como la de los acuerdos adoptados en los Autos de 15 de mayo y 3 de julio de 2006,</w:t>
      </w:r>
    </w:p>
    <w:p w:rsidRPr="" w:rsidR="00AD51A7" w:rsidRDefault="008777C4">
      <w:pPr>
        <w:rPr/>
      </w:pPr>
      <w:r w:rsidRPr="&lt;w:rPr xmlns:w=&quot;http://schemas.openxmlformats.org/wordprocessingml/2006/main&quot;&gt;&lt;w:szCs w:val=&quot;24&quot; /&gt;&lt;/w:rPr&gt;">
        <w:rPr/>
        <w:t xml:space="preserve">dictados en la ejecutoria 44/2002, procedente del procedimiento abreviado núm. 46-2000 del Juzgado de Instrucción núm. 4 de Denia.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