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18 de noviembre de 2004 el Procurador de los Tribunales don Federico José Olivares de Santiago, en nombre de don Mariano Aguirán Esqués, formuló demanda de amparo constitucional contra el Auto de fecha 18 de octubre de 2004 dictado por la Sección Segunda de la Audiencia Provincial de Zaragoza en recurso de apelación num. 716-2001.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los Autos de juicio de menor cuantía núm. 547-2004, seguidos contra el demandante de amparo para la rendición de cuentas por parte de éste de los frutos y rentas obtenidos del patrimonio común heredado de sus padres, que era administrado por el demandante de amparo en vida de aquellos, recayó Sentencia en que se le condenaba a rendir cuenta detallada y justificada de su gestión de determinados bienes desde 1994, practicándose las oportunas liquidaciones correspondientes a los frutos y rentas obtenidos del patrimonio común. Esta resolución fue confirmada por la Audiencia Provincial. Al objeto de proceder a la ejecución de la misma, por el demandante se presentó escrito de dación de cuentas, del que se confirió traslado a la otra parte, que la impugnó, por lo que se abrió a prueba el incidente. </w:t>
      </w:r>
    </w:p>
    <w:p w:rsidRPr="00C21FFE" w:rsidR="00AD51A7" w:rsidRDefault="008777C4">
      <w:pPr>
        <w:rPr/>
      </w:pPr>
      <w:r w:rsidRPr="&lt;w:rPr xmlns:w=&quot;http://schemas.openxmlformats.org/wordprocessingml/2006/main&quot;&gt;&lt;w:lang w:val=&quot;es-ES_tradnl&quot; /&gt;&lt;/w:rPr&gt;">
        <w:rPr/>
        <w:t xml:space="preserve">b) El Juzgado dictó Auto, de fecha 7 de diciembre de 2000, en cuya parte dispositiva dispuso que debía fijar en dos millones doscientas cincuenta y dos mil setecientas cincuenta y cuatro ptas. la cantidad que el demandante de amparo debía abonar a doña María del Pilar Aguirán Esqués. </w:t>
      </w:r>
    </w:p>
    <w:p w:rsidRPr="00C21FFE" w:rsidR="00AD51A7" w:rsidRDefault="008777C4">
      <w:pPr>
        <w:rPr/>
      </w:pPr>
      <w:r w:rsidRPr="&lt;w:rPr xmlns:w=&quot;http://schemas.openxmlformats.org/wordprocessingml/2006/main&quot;&gt;&lt;w:lang w:val=&quot;es-ES_tradnl&quot; /&gt;&lt;/w:rPr&gt;">
        <w:rPr/>
        <w:t xml:space="preserve">c) Contra esta resolución interpusieron recurso de apelación ambas partes, que resolvió la Audiencia por medio de Auto de fecha 18 de octubre de 2004, que estimó parcialmente el de doña María del Pilar y desestimó el del demandante de amparo. En consecuencia, revocó el Auto anterior, en el sentido de fijar la liquidación pendiente en la cantidad de siete millones ciento nueve mil quinientas setenta y cuatro pesetas. La Audiencia afirma que el debate se centra sobre los ingresos y gastos generados por los contratos de arrendamiento de tres locales comerciales cuya administración ostentío el demandante de amparo, y respecto de los que ha sido condenado a la oportuna rendición de cuentas y liquidación. En función de este criterio, no deduce de la liquidación determinados gastos que están relacionados con otros inmuebles heredados por los hermanos distintos de los locales, “lo que obliga a su exclusión”.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queja sustancial que fundamenta la demanda de amparo es la vulneración del derecho fundamental a la tutela judicial efectiva (art. 24.1 CE). Alega el demandante que la rendición de cuentas objeto del proceso se refería a todos los frutos y rentas (y, por supuesto, gastos), derivados del patrimonio común heredado, y no sólo a los tres locales comerciales integrados en la herencia y a los que se refiere la Audiencia Provincial en la resolución impugnada. Por otrosí se solicita la suspensión de la ejecución de la condena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abril de 2007, la Sección,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29 de mayo de 2004, razona que, en relación con las condenas al pago de sumas económicas, el Tribunal en su interpretación del artículo 56 LOTC, entiende que no deben ser suspendidas con carácter general ya que ni perjudica la finalidad del amparo su no suspensión ni crean un perjuicio, ya que el dinero es siempre retornable si el amparo llegara a otorgarse y tuviera esa consecuencia. En función de ello alega el Fiscal que la anterior doctrina es aplicable al presente caso en el que, por otra parte, ni se concreta en la demanda el perjuicio irreparable ni el perjuicio del amparo derivado de la no suspensión, justificación exigible al demandante de amparo. De otro lado existe un interés público en el cumplimiento de las resoluciones judiciales que reclama su ejecución, resultando también que la suspensión puede asimismo perjudica los intereses de la otra parte del proceso, que ve dilatada la satisfacción de su crédito. Por todo ello, el Fiscal interesa que se dicte auto denegando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formuló alegaciones mediante escrito de 23 de mayo de 2007 en el que se ratifica en la petición contenida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como ocurre en este caso,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 lugar a la suspensión solicitada respecto de la ejecución del Auto de 18 de octubre de 2004 de la Sección Segunda de la Audiencia Provincial de Zaragoza.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