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9563-2005, promovido por don Benedicto Vadillo Ortiz, representado por el Procurador de los Tribunales don Enrique de Antonio Viscor, se recurre la Sentencia de fecha 31 de octubre de 2005 dictada por la Sala Tercera del Tribunal Supremo en el recurso contencioso-administrativo núm. 276-2002. </w:t>
      </w:r>
    </w:p>
    <w:p w:rsidRPr="00C21FFE" w:rsidR="00AD51A7" w:rsidRDefault="008777C4">
      <w:pPr>
        <w:rPr/>
      </w:pPr>
      <w:r w:rsidRPr="&lt;w:rPr xmlns:w=&quot;http://schemas.openxmlformats.org/wordprocessingml/2006/main&quot;&gt;&lt;w:lang w:val=&quot;es-ES_tradnl&quot; /&gt;&lt;/w:rPr&gt;">
        <w:rPr/>
        <w:t xml:space="preserve">Mediante escrito de fecha 10 de julio de 2007 el Magistrado don Guillermo Jiménez Sánchez comunicó, a los efectos oportunos, que se abstenía de intervenir en la tramitación y resolución del indicado recurso, de conformidad con el art. art. 80 LOTC, en relación con el art. 219, 8ª, 10ª, 13ª y 16ª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don Guillermo Jiménez Sánchez, en virtud de lo previsto en los arts. 80 LOTC y 221.4 de la Ley Orgánica del Poder Judicial (LOPJ), se estima justificada la abstención formulada, al concurrir en el Magistrado don</w:t>
      </w:r>
    </w:p>
    <w:p w:rsidRPr="00C21FFE" w:rsidR="00AD51A7" w:rsidRDefault="008777C4">
      <w:pPr>
        <w:rPr/>
      </w:pPr>
      <w:r w:rsidRPr="&lt;w:rPr xmlns:w=&quot;http://schemas.openxmlformats.org/wordprocessingml/2006/main&quot;&gt;&lt;w:lang w:val=&quot;es-ES_tradnl&quot; /&gt;&lt;/w:rPr&gt;">
        <w:rPr/>
        <w:t xml:space="preserve">Guillermo Jiménez Sánchez las causas de abstención aducidas en su comunicación.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don Guillermo Jiménez Sánchez en el recurso de amparo núm. 9563-2005, apartándole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