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24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abril de 2005 el Procurador de los Tribunales don Nicolás Álvarez Real, en nombre y representación de don Máximo Centeno Conejo, asistido por el Letrado don José Carlos Botas García, interpuso recurso de amparo contra la Sentencia de la Sala de lo Penal del Tribunal Supremo de 13 de diciembre de 2004, así como contra el Auto de 21 de febrero de 2005 que denegaba la aclaración solicitada contra dicha resolución, recaída en el recurso de casación núm. 621-2004, promovido contra la Sentencia de la Sala Segunda de la Audiencia Provincial de Oviedo de 23 de febrero de 2004 dictada en el rollo de Sala 6-2003.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Sentencia de instancia el Tribunal condena al recurrente, como autor de varios delitos (continuado de agresión sexual, allanamiento de morada, detención ilegal y contra la libertad sexual), a diversas penas de prisión, accesorias y costas procesales, fijándose la cuantía de responsabilidad civil que debía abonar a la víctima en 40.000 euros. Interpuesto recurso de casación, el Tribunal Supremo estimó parcialmente el mismo, absolviendo al recurrente del delito continuado de agresión sexual, manteniendo, no obstante, el resto de los pronunciamientos de la Sentencia de la Audiencia Provincial. Solicitada aclaración por el condenado sobre si se debería suprimir o aminorar la obligación indemnizatoria impuesta, en atención al pronunciamiento absolutorio recaído, el órgano de casación inadmite dicha pretensión, respetándose así la cuantía de la responsabilidad civil fijada por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atribuye la lesión del derecho a la tutela judicial efectiva (art. 24.1 CE) a la Sentencia dictada en casación, así como al Auto que denegó la aclaración interesada, alegando que se trata de resoluciones arbitrarias que carecen de cualquier fundamento jurídico. En efecto, si la Sentencia de instancia condenó a indemnizar a la víctima en al cuantía señalada “por las agresiones sexuales de las que le hizo objeto así como por los trastornos de carácter psíquico y de adaptación sufridos a consecuencia de tales actos” (FJ 4), el órgano de casación al absolver al recurrente del delito continuado de agresión sexual debería haber razonado la trascendencia de este pronunciamiento en cuanto a la responsabilidad civil fijada. Como segundo motivo se resalta en la demanda que las resoluciones dictadas por el Tribunal Supremo suponen también una quiebra del principio de legalidad (art. 25.1 CE), por referencia a la interpretación que se ha dado en el presente caso por el Alto Tribunal a las normas sobre responsabilidad civil derivada de delito (previstas en el art. 109 CP y concordantes). </w:t>
      </w:r>
    </w:p>
    <w:p w:rsidRPr="00C21FFE" w:rsidR="00AD51A7" w:rsidRDefault="008777C4">
      <w:pPr>
        <w:rPr/>
      </w:pPr>
      <w:r w:rsidRPr="&lt;w:rPr xmlns:w=&quot;http://schemas.openxmlformats.org/wordprocessingml/2006/main&quot;&gt;&lt;w:lang w:val=&quot;es-ES_tradnl&quot; /&gt;&lt;/w:rPr&gt;">
        <w:rPr/>
        <w:t xml:space="preserve">Mediante otrosí, y de conformidad con el art. 56.1 LOTC, el demandante solicitó que se acordase la suspensión de la ejecución de la Sentencia de la Audiencia Provincial de Oviedo de 23 de febrero de 2004, “en lo que atañe al aspecto civil de la misma hasta tanto y cuando sea resuelto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marzo de 2007 la Sección Primera de este Tribunal acodó la admisión a trámite del recurso de amparo y ordenó que se formase la oportuna pieza separada para la tramitación el incidente de suspensión, concediendo por providencia de igual fecha, de conformidad con lo dispuesto en el art. 56 LOTC, un plazo común de tres días al Ministerio Fiscal y a la parte recurrente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30 de marzo de 2007 se registró en este Tribunal el escrito de alegaciones del solicitante de amparo. En dicho escrito se confirma la pretensión de suspensión reflejada en el escrito de demanda, con el único razonamiento de que dicha petición “viene motivada porque abierta la Ejecutoria se le viene mensualmente descontando la parte proporcional que legalmente corresponde de la pensión que percibe como jubilado de Hunosa, lo que evidentemente le causa un perjuicio para el supuesto que se mantenga y fuese otorgado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el 3 de abril de 2007. En dicho escrito entiende que no procede acceder a la solicitud de suspensión interesada por referirse a un pronunciamiento de contenido económico fácilmente reparable, siguiendo la línea la jurisprudencia de este Tribunal (cita al efecto el ATC 366/2005).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Habiéndose personado en las actuaciones la procuradora doña María Albarracín Pascual, en nombre y representación de la víctima del delito, doña María Teresa Castrillo Marcos, de acuerdo con lo prevenido en el art. 56 LOTC, se acordó por diligencia de ordenación de la Secretaria de Justicia de la Sala Primera de este Tribunal de 16 de mayo de 2007 conceder un plazo de tres días a dicha parte, para que alegara lo que estimase pertinente en relación con la petición de suspensión interesada. A tal efecto, obra diligencia de 8 de junio de 2007 de la Secretaria de Justicia, donde consta no haberse presentado por la mencionada procuradora el escrito de alegaciones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en la redacción anterior a la establecida por la Ley Orgánica 6/2007, de 24 de mayo, que es la que, de acuerdo con lo previsto en su disposición transitoria tercera, resulta aplicable a los recursos de amparo interpuestos con anterioridad a su entrada en vigor, prescribe que la interposición del recurso de amparo no suspenderá los efectos del acto o sentencia impugnados. Ello no obstante, cuando su ejecución produzca un perjuicio al recurrente que pudiera hacer perder al amparo su finalidad, la Sala, de oficio o a instancia del recurrente, podrá disponer la suspensión de sus efectos, siempre y cuando ésta no ocasione perturbación grave de los intereses generales o de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interpretación de esta medida cautelar, hemos venido sosteniendo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de las demás partes procesales, quienes se ven privadas de la efectividad del pronunciamiento favorable a sus intereses (Así, ATC 487/2004, de 30 de noviembre). Consecuentemente la regla general debe ser la improcedencia de la suspensión, resultando pertinente sólo la adopción de esta medida cuando la ejecución del fallo cause al solicitante de amparo un perjuicio irreparable en los derechos fundamentales invocados en el proceso constitucional (AATC 243/2000, de 16 de octubre y 251/2000,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Examinando ya el caso a que se refiere la presente petición de suspensión, hay que recordar que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resolución impugnada (AATC 291/2004, de 19 de julio y 241/2005, de 6 de junio). Por lo que procede con carácter general denegar la suspensión de tales resoluciones, salvo que el recurrente justifique que la ejecución habría de producirle perjuicios patrimoniales difícilmente reparables por su entidad o por la irreversibilidad de las situaciones judiciales que puedan producirse. Esta doctrina es plenamente aplicable a la condena de la consiguiente responsabilidad civil, que aquí se discute.</w:t>
      </w:r>
    </w:p>
    <w:p w:rsidRPr="00C21FFE" w:rsidR="00AD51A7" w:rsidRDefault="008777C4">
      <w:pPr>
        <w:rPr/>
      </w:pPr>
      <w:r w:rsidRPr="&lt;w:rPr xmlns:w=&quot;http://schemas.openxmlformats.org/wordprocessingml/2006/main&quot;&gt;&lt;w:lang w:val=&quot;es-ES_tradnl&quot; /&gt;&lt;/w:rPr&gt;">
        <w:rPr/>
        <w:t xml:space="preserve">Y no habiéndose justificado en los presentes autos aquellos perjuicios, procedente será la denegación de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resolución impugnada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