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462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17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30 de junio de 2005, doña María Pilar Cortés Galán, Procuradora de los Tribunales, y de don Georgios Tágalos, interpuso en nombre de éste recurso de amparo contra la resolución judicial que se cita en el encabezamiento, en la cual se condenaba al recurrente, como autor de un delito de apropiación indebida, a la pena de tres meses de arresto mayor y suspensión del derecho de sufragio pasivo durante el mismo tiempo, así como al pago de un tercio de las costas de la instancia y a indemnizar a don Constantin Olarescu en la cantidad de 1.016.086 pesetas. </w:t>
      </w:r>
    </w:p>
    <w:p w:rsidRPr="00C21FFE" w:rsidR="00AD51A7" w:rsidRDefault="008777C4">
      <w:pPr>
        <w:rPr/>
      </w:pPr>
      <w:r w:rsidRPr="&lt;w:rPr xmlns:w=&quot;http://schemas.openxmlformats.org/wordprocessingml/2006/main&quot;&gt;&lt;w:lang w:val=&quot;es-ES_tradnl&quot; /&gt;&lt;/w:rPr&gt;">
        <w:rPr/>
        <w:t xml:space="preserve">En la demanda de amparo se alega que la resolución judicial recurrida ha vulnerado los derechos de la recurrente a un proceso con todas las garantías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demanda se solicita se deje en suspenso la ejecución de la pena privativa de libertad impuesta, por considerar que lo contrario produciría un perjuicio irreparable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octubre de 2007 la Sala Segunda de este Tribunal acordó la admisión a trámite de la demanda y, mediante otra providencia de la misma fecha, la Sala Segunda acordó formar la correspondiente pieza separada de suspensión y, de conformidad con lo previsto en el art. 56 LOTC, conceder un plazo común de tres días al Ministerio Fiscal y a la parte recurrente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12 de noviembre de 2007 realizó sus alegaciones el demandante de amparo, quien reitera la solicitud de suspensión de la pena privativa de libertad de tres meses de arresto mayor impuesta, argumentando que de no accederse a ella se le causaría un perjuicio irreparable a su libertad para el supuesto de que prospere el recurso, perdiendo su finalidad el amparo, a la vista de la duración de la pena y de tiempo que el Tribunal Constitucional tardaría en tramitar el recurso. También señala que, a la vista de las circunstancias del caso, el acceder a la suspensión no ocasionaría una lesión grave ni de los intereses generales, ni de los derechos o libertades de terceros. Se sostiene también que ha de suspenderse la pena accesoria legal, que ha de seguir la misma suerte que la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20 de noviembre de 2007 se registró en este Tribunal el escrito de alegaciones del Ministerio Fiscal, que interesa la estimación de la solicitud de suspensión de la pena privativa de libertad impuesta, dada la extensión de la misma, pues de lo contrario los efectos de un eventual otorgamiento del amparo serían ilusorios, al haberse previsiblemente extinguido la condena. También sostiene el Fiscal que la suspensión de dicha pena lleva aparejada la de la accesoria legal.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Establece el art. 56.2 LOTC,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aplicación del art. 56.1 LOTC, en gran parte similar en su redacción a la reciente reforma de la Ley Orgánica 6/2007, este Tribunal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salvo que, de no acordarse la suspensión, el amparo hubiese de perder toda finalidad, lo que explica que, como criterio general, no proceda suspender aquellos pronunciamientos judiciales que admiten la reparación o la restitución íntegra de lo ejecutado, como sucede de ordinario con las resoluciones judiciales que condenan al pago de una determinada cantidad (entre otros muchos, AATC 293/2001, de 26 de noviembre; 211/2004, de 2 junio; 149/2006, de 8 de mayo; 460/2006, de 18 de diciembre).</w:t>
      </w:r>
    </w:p>
    <w:p w:rsidRPr="00C21FFE" w:rsidR="00AD51A7" w:rsidRDefault="008777C4">
      <w:pPr>
        <w:rPr/>
      </w:pPr>
      <w:r w:rsidRPr="&lt;w:rPr xmlns:w=&quot;http://schemas.openxmlformats.org/wordprocessingml/2006/main&quot;&gt;&lt;w:lang w:val=&quot;es-ES_tradnl&quot; /&gt;&lt;/w:rPr&gt;">
        <w:rPr/>
        <w:t xml:space="preserve">Sin embargo se ha apreciado la procedencia de la suspensión en aquellos supuestos en los cuales la afectación de los bienes del recurrente o de sus derechos patrimoniales pudiera devenir definitiva o difícilmente reversible, en cuyo caso aquella regla ha cedido en favor de una ponderación de intereses y valoración de las circunstancias que, eventualmente, han permitido acordar la suspensión de la resolución impugnada. Así ha sucedido cuando la ejecución conllevaba el embargo y adjudicación a un tercero de buena fe de ciertos bienes inmuebles, con la consiguiente consolidación de una posición jurídicamente inatacable o de muy difícil y costoso restablecimiento (así, AATC 565/1986, 52/1989, 222/1992, 183/1996, 5/1997, 52/1997, 287/1997, 99/1998, 208/2001,106/2005 y 416/2006), o cuando se declara la resolución de la relación arrendaticia y se acuerda el lanzamiento de la vivienda o local, pues la pérdida de la posesión de ésta podría dar lugar a un perjuicio difícilmente reparable en su integridad, al generar una situación irreversible (entre otros, AATC 684/1986, 405/1989, 351/1991, 234/1995, 47/1997, 137/1998, 255/1999, 174/2000, 187/2001 y 210/2001) e incluso en supuestos de privación temporal del uso de la vivienda (ATC 223/1996).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(AATC 235/2005, de 6 de junio, FJ 1; 63/2007, de 26 de febrero, FJ 2; 336/2007, de 18 de julio, FJ 1, entre otros muchos). Por el contrario entiende procedente acordarla en aquellos otros que afectan a bienes o derechos del recurrente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las resoluciones cuya ejecución afecte a la libertad, pues el art. 56 LOTC responde a la necesidad de mantener un equilibrio entre los intereses del recurrente, los generales de la sociedad y los derechos de terceros (AATC 369/2005, de 24 de octubre, FJ 2; 214/2007, de 16 de abril, FJ 2; 287/2007, de 18 de junio, FJ 2). En consecuencia es necesario conciliar el interés en la ejecución de las resoluciones judiciales y el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supuesto de hecho.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9/2003, de 20 de enero, FJ 1; 369/2005, de 24 de octubre, FJ 2; 214/2007, de 16 de abril, FJ 2; 287/2007, de 18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nos lleva a declarar, tras ponderar los intereses en juego, en primer término, la procedencia de la suspensión de la ejecución de la pena privativa de libertad impuesta, pues, si se compara la duración de la misma (tres meses) con el tiempo que requiere la tramitación de un proceso como el presente, ha de concluirse que no suspender su ejecución ocasionaría un perjuicio irreparable, que dejaría totalmente en entredicho la eficacia de un eventual fallo estimatorio. Por otro lado, atendidas las demás circunstancias concurrentes en el caso (que no se trata de un delito de especial gravedad, que la pena impuesta es de corta duración, que el recurrente carece de antecedentes penales), no se aprecia que acceder a la suspensión solicitada ocasione una lesión específica y grave del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de inhabilitación especial para el ejercicio del derecho de sufragio pasivo legalmente impuesta, pues las penas accesorias han de seguir la misma suerte que la principal (AATC 131/2001, de 22 de mayo, FJ 2; y 408/2005, de 21 de noviembre, FJ 2; 80/2006, de 13 de marzo,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Sala de lo Penal del Tribunal Supremo, de 10 de mayo de 2005, en el recurso de casación núm. 66-2004, exclusivamente en lo referente a la pena privativa de libertad de tres meses de arresto mayor y a</w:t>
      </w:r>
    </w:p>
    <w:p w:rsidRPr="" w:rsidR="00AD51A7" w:rsidRDefault="008777C4">
      <w:pPr>
        <w:rPr/>
      </w:pPr>
      <w:r w:rsidRPr="&lt;w:rPr xmlns:w=&quot;http://schemas.openxmlformats.org/wordprocessingml/2006/main&quot;&gt;&lt;w:szCs w:val=&quot;24&quot; /&gt;&lt;/w:rPr&gt;">
        <w:rPr/>
        <w:t xml:space="preserve">la accesoria legal de suspensión para el ejercicio del derecho de sufragio pasivo durante el tiempo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