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17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octubre de 2005, don Alfonso de Murga y Florido, Procurador de los Tribunales, y de don Juan José Dionisio Rodríguez, interpuso recurso de amparo contra el Auto de la Sala de lo Penal del Tribunal Supremo, de 15 de septiembre de 2005, recaído en el recurso de casación núm. 619-2005, contra la Sentencia de la Sección Tercera de la Audiencia Provincial de Huelva, de 31 de enero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 la Sección Tercera de la Audiencia Provincial de Huelva, de 31 de enero de 2005, se condenó al recurrente, como autor de un delito contra la salud pública, a la pena de tres años de prisión y multa de 2.000 euros, con treinta días de responsabilidad subsidiaria en caso de impago, accesoria legal de inhabilitación especial para el ejercicio del derecho de sufragio pasivo durante el tiempo de la condena, así como al pago de las costas procesales. </w:t>
      </w:r>
    </w:p>
    <w:p w:rsidRPr="00C21FFE" w:rsidR="00AD51A7" w:rsidRDefault="008777C4">
      <w:pPr>
        <w:rPr/>
      </w:pPr>
      <w:r w:rsidRPr="&lt;w:rPr xmlns:w=&quot;http://schemas.openxmlformats.org/wordprocessingml/2006/main&quot;&gt;&lt;w:lang w:val=&quot;es-ES_tradnl&quot; /&gt;&lt;/w:rPr&gt;">
        <w:rPr/>
        <w:t xml:space="preserve">b) Contra la anterior resolución, el condenado interpuso recurso de casación, inadmitido por Auto de la Sala de lo Penal del Tribunal Supremo de 15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la tutela judicial efectiva (art. 24.1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Posteriormente, mediante escrito registrado en este Tribunal el día 14 de marzo de 2006, la representación procesal del recurrente solicitó la suspensión cautelar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octubre de 2007, la Sección Segunda de este Tribunal acordó la admisión a trámite de la demanda. </w:t>
      </w:r>
    </w:p>
    <w:p w:rsidRPr="00C21FFE" w:rsidR="00AD51A7" w:rsidRDefault="008777C4">
      <w:pPr>
        <w:rPr/>
      </w:pPr>
      <w:r w:rsidRPr="&lt;w:rPr xmlns:w=&quot;http://schemas.openxmlformats.org/wordprocessingml/2006/main&quot;&gt;&lt;w:lang w:val=&quot;es-ES_tradnl&quot; /&gt;&lt;/w:rPr&gt;">
        <w:rPr/>
        <w:t xml:space="preserve">Mediante otra providencia de la misma fecha, la citad Sección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octubre de 2007 realizó sus alegaciones el demandante de amparo, quien reitera la solicitud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24 de octubre de 2007 se registró en este Tribunal el escrito de alegaciones del Ministerio Fiscal, que interesa la estimación de la solicitud de suspensión exclusivamente en lo referente a la pena privativa de libertad y a la accesoria legal. </w:t>
      </w:r>
    </w:p>
    <w:p w:rsidRPr="00C21FFE" w:rsidR="00AD51A7" w:rsidRDefault="008777C4">
      <w:pPr>
        <w:rPr/>
      </w:pPr>
      <w:r w:rsidRPr="&lt;w:rPr xmlns:w=&quot;http://schemas.openxmlformats.org/wordprocessingml/2006/main&quot;&gt;&lt;w:lang w:val=&quot;es-ES_tradnl&quot; /&gt;&lt;/w:rPr&gt;">
        <w:rPr/>
        <w:t xml:space="preserve">Sostiene el Fiscal que debe accederse a la suspensión de la pena privativa de libertad impuesta, pues a la vista de la duración de la misma (tres años) y del tiempo que normalmente se consume en la tramitación de un proceso de amparo, de lo contrario los efectos de un eventual otorgamiento del amparo serían ilusorios, al haberse previsiblemente extinguido la condena. También sostiene el Fiscal que la suspensión de dicha pena lleva aparejada la de la accesoria legal. </w:t>
      </w:r>
    </w:p>
    <w:p w:rsidRPr="00C21FFE" w:rsidR="00AD51A7" w:rsidRDefault="008777C4">
      <w:pPr>
        <w:rPr/>
      </w:pPr>
      <w:r w:rsidRPr="&lt;w:rPr xmlns:w=&quot;http://schemas.openxmlformats.org/wordprocessingml/2006/main&quot;&gt;&lt;w:lang w:val=&quot;es-ES_tradnl&quot; /&gt;&lt;/w:rPr&gt;">
        <w:rPr/>
        <w:t xml:space="preserve">Sin embargo, en cuanto al pago de la multa y a las costas procesales, al tratarse de pronunciamientos de contenido económico y, por tanto, susceptibles de restitución, entiende que no debe accederse a su suspensión, máxime al no ser elevada su cuantía y no alegarse especiales dificultades para hacer frente a dichos pagos. Tampoco considera procedente el Fiscal pronunciarse sobre la suspensión de la responsabilidad personal subsidiaria en caso de impago, por tratarse de una mera eventualidad.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1;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369/2005, de 24 de octubre, FJ 2; 214/2007, de 16 de abril, FJ 2; 287/2007, de 18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nos lleva a declarar, tras ponderar los intereses en juego, en primer término, la procedencia de la suspensión de la ejecución de la pena privativa de libertad impuesta, pues dada la duración de la misma (tres años), no suspender su ejecución ocasionaría, en su caso, un perjuicio irreparable, que cuestionaría la eficacia de un eventual fallo estimatorio. Por otro lado, atendidas las demás circunstancias concurrentes en el caso no se aprecia que acceder a la suspensión solicitada ocasione una lesión específica y grave del interés general, más allá de aquélla que de por sí produce la no ejecución de un fallo judicial.</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de inhabilitación especial para el ejercicio del derecho de sufragio pasivo legalmente impuesta, pues las penas accesorias han de seguir la misma suerte que la principal (AATC 131/2001, de 22 de mayo, FJ 2; y 408/2005, de 21 de noviembre, FJ 2; 80/2006, de 13 de marzo, FJ 2, entre otros muchos).</w:t>
      </w:r>
    </w:p>
    <w:p w:rsidRPr="00C21FFE" w:rsidR="00AD51A7" w:rsidRDefault="008777C4">
      <w:pPr>
        <w:rPr/>
      </w:pPr>
      <w:r w:rsidRPr="&lt;w:rPr xmlns:w=&quot;http://schemas.openxmlformats.org/wordprocessingml/2006/main&quot;&gt;&lt;w:lang w:val=&quot;es-ES_tradnl&quot; /&gt;&lt;/w:rPr&gt;">
        <w:rPr/>
        <w:t xml:space="preserve">Por lo que se refiere a los pronunciamientos de contenido patrimonial —multa y costas procesales—, de conformidad con el criterio de este Tribunal, al tratarse de condenas de contenido económico, los perjuicios anejos a su ejecución son perfectamente reparables en caso de estimarse el amparo, por lo que no procede acceder a la suspensión respecto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 la Sentencia de la Sección Tercera de la Audiencia Provincial de Huelva, de 31 de enero de 2005, exclusivamente en lo referente a la pena privativa de libertad de tres años de prisión y a la accesoria legal de inhabilitación</w:t>
      </w:r>
    </w:p>
    <w:p w:rsidRPr="" w:rsidR="00AD51A7" w:rsidRDefault="008777C4">
      <w:pPr>
        <w:rPr/>
      </w:pPr>
      <w:r w:rsidRPr="&lt;w:rPr xmlns:w=&quot;http://schemas.openxmlformats.org/wordprocessingml/2006/main&quot;&gt;&lt;w:szCs w:val=&quot;24&quot; /&gt;&lt;/w:rPr&gt;">
        <w:rPr/>
        <w:t xml:space="preserve">especial para el ejercicio del derecho de sufragio pasivo.</w:t>
      </w:r>
    </w:p>
    <w:p w:rsidRPr="" w:rsidR="00AD51A7" w:rsidRDefault="008777C4">
      <w:pPr>
        <w:rPr/>
      </w:pPr>
      <w:r w:rsidRPr="&lt;w:rPr xmlns:w=&quot;http://schemas.openxmlformats.org/wordprocessingml/2006/main&quot;&gt;&lt;w:szCs w:val=&quot;24&quot; /&gt;&lt;/w:rPr&gt;">
        <w:rPr/>
        <w:t xml:space="preserve">2.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