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agosto de 2003 el Abogado don Luis Miguel Pérez Espadas formuló recurso de amparo en interés de don Suma Kane contra el Auto del Juzgado de Instrucción núm. 3 de Puerto del Rosario de 23 de julio anterior, por el que se denegó la incoación de un procedimiento de habeas corpus. Solicitó que se le tuviera por parte en representación del Sr. Kane, entendiéndose con él las sucesivas diligencias hasta que, dado que el citado Sr. Kane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del colegiado don Eusebio Ruiz Esteban.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29 siguiente, el Ilustre Colegio de Abogados de Madrid comunicó que había procedido al archivo de la solicitud de asistencia jurídica gratuita de don Suma Kane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Kane suponía, de acuerdo con el art. 18 LAJG, que quedara sin efecto la designación provisional efectuada en su día del Procurador don Eusebio Ruiz Esteban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23 de julio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le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5184-2003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Suma Kane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Kane,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Kane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Kane.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Suma Kane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