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septiembre de 2003 el Abogado don Luis Miguel Pérez Espadas formuló recurso de amparo en interés de don Alou Camara contra el Auto del Juzgado de Instrucción núm. 3 de Puerto del Rosario de 22 de agosto anterior, por el que se denegó la incoación de un procedimiento de habeas corpus. Solicitó que se le tuviera por parte en representación del Sr. Camara, entendiéndose con él las sucesivas diligencias hasta que, dado que el citado Sr. Camara tenía derecho a asistencia jurídica gratuita en virtud del artículo 22.1 de la Ley Orgánica 4/2000,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del colegiado don Norberto Pablo Jerez Fernández.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28 siguiente, el Ilustre Colegio de Abogados de Madrid comunicó que había procedido al archivo de la solicitud de asistencia jurídica gratuita de don Alou Camara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Camara suponía, de acuerdo con el art. 18 LAJG, que quedara sin efecto la designación provisional efectuada en su día del Procurador don Norberto Pablo Jerez Fernández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del Procurador de oficio, efectuada con carácter provisional, se ha producido el incumplimiento sobrevenido de esa exigencia legal, incumplimiento que la parte ha de subsanar, so pena de que, como se desprende del art. 11.3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5550-2003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Alou Camara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Camara,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Camara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Camara.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Alou Camara,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