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septiembre de 2003 el Abogado don Luis Miguel Pérez Espadas formuló recurso de amparo en interés de don Banioko Diawara contra el Auto del Juzgado de Instrucción núm. 3 de Puerto del Rosario de 22 de agosto anterior, por el que se denegó la incoación de un procedimiento de habeas corpus. Solicitó que se le tuviera por parte en representación del Sr. Diawara, entendiéndose con él las sucesivas diligencias hasta que, dado que el citado Sr. Diawara tenía derecho a asistencia jurídica gratuita en virtud del artículo 22.1 de la Ley Orgánica 4/2000,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 la colegiada doña María José Millán Valero.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28 siguiente, el Ilustre Colegio de Abogados de Madrid comunicó que había procedido al archivo de la solicitud de asistencia jurídica gratuita de don Banioko Diawara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Diawara suponía, de acuerdo con el art. 18 LAJG, que quedara sin efecto la designación provisional efectuada en su día de la Procuradora doña María José Millán Valero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5619-2003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Banioko Diawara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Diawara,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Diawara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Diawara.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Banioko Diawara,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