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103</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18 de septiembre de 2003 el Abogado don Luis Miguel Pérez Espadas formuló recurso de amparo en interés de don Mustapha Camara contra el Auto del Juzgado de Instrucción núm. 3 de Puerto del Rosario de 22 de agosto anterior, por el que se denegó la incoación de un procedimiento de habeas corpus. Solicitó que se le tuviera por parte en representación del Sr. Camara, entendiéndose con él las sucesivas diligencias hasta que, dado que el citado Sr. Camara tenía derecho a asistencia jurídica gratuita en virtud del artículo 22.1 de la Ley Orgánica 4/2000, de 11 de enero,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 la colegiada doña Begoña López Cerezo.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29 siguiente, el Ilustre Colegio de Abogados de Madrid comunicó que había procedido al archivo de la solicitud de asistencia jurídica gratuita de don Mustapha Camara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Camara suponía, de acuerdo con el art. 18 LAJG, que quedara sin efecto la designación provisional efectuada en su día de la Procuradora doña Begoña López Cerezo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de la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Orgánica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5625-2003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Mustapha Camara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Camara,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Camara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Camara.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Mustapha Camara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