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septiembre de 2003 el Abogado don Luis Miguel Pérez Espadas formuló recurso de amparo en interés de don Bassirou Seydi contra el Auto del Juzgado de Instrucción núm. 3 de Puerto del Rosario de 22 de agosto anterior, por el que se denegó la incoación de un procedimiento de habeas corpus. Solicitó que se le tuviera por parte en representación del Sr. Seydi, entendiéndose con él las sucesivas diligencias hasta que, dado que el citado Sr. Seydi tenía derecho a asistencia jurídica gratuita en virtud del artículo 22.1 de la Ley Orgánica 4/2000,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2 de marzo de 2005 la designación, con carácter provisional, de la colegiada doña Virginia Gutiérrez Sanz.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18 de abril de 2005, que ingresó en este Tribunal el día 28 siguiente, el Ilustre Colegio de Abogados de Madrid comunicó que había procedido al archivo de la solicitud de asistencia jurídica gratuita de don Bassirou Seydi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Seydi suponía, de acuerdo con el art. 18 LAJG, que quedara sin efecto la designación provisional efectuada en su día de la Procuradora doña Virginia Gutiérrez Sanz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22 de agosto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5633-2003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Bassirou Seydi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Seydi,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Seydi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Seydi.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Bassirou Seydi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