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2006, el Procurador de los Tribunales don Víctor Mardomingo Herrero, interpuso, en nombre de don Anastasio Egido Lorenzo, asistido por el Letrado don Marcos Barbado Olmos, recurso de amparo contra la Sentencia de 1 de septiembre de 2006, dictada por la Audiencia Provincial de Salamanca en el rollo núm. 85-2006, por conculcar el derecho a un proceso con todas las garantías (art. 24.2 CE), a la presunción de inocencia (art. 24.2 CE) y a utilizar los medios de prueba pertinentes para la defensa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Único de Vitigudino dictó Sentencia el 21 de marzo de 2006, en el Juicio de faltas núm. 58-2005, condenando al demandante de amparo como autor de una falta lesiones, a la pena de un mes de multa, indemnización y costas. </w:t>
      </w:r>
    </w:p>
    <w:p w:rsidRPr="00C21FFE" w:rsidR="00AD51A7" w:rsidRDefault="008777C4">
      <w:pPr>
        <w:rPr/>
      </w:pPr>
      <w:r w:rsidRPr="&lt;w:rPr xmlns:w=&quot;http://schemas.openxmlformats.org/wordprocessingml/2006/main&quot;&gt;&lt;w:lang w:val=&quot;es-ES_tradnl&quot; /&gt;&lt;/w:rPr&gt;">
        <w:rPr/>
        <w:t xml:space="preserve">La Sentencia declaró probado que se produjo una discusión entre Avelino Egido Vicente y Anastasio Egido Lorenzo, y que un momento de la misma el segundo agarró del brazo al primero y 1o tiró al suelo, produciéndose éste diversas lesiones. </w:t>
      </w:r>
    </w:p>
    <w:p w:rsidRPr="00C21FFE" w:rsidR="00AD51A7" w:rsidRDefault="008777C4">
      <w:pPr>
        <w:rPr/>
      </w:pPr>
      <w:r w:rsidRPr="&lt;w:rPr xmlns:w=&quot;http://schemas.openxmlformats.org/wordprocessingml/2006/main&quot;&gt;&lt;w:lang w:val=&quot;es-ES_tradnl&quot; /&gt;&lt;/w:rPr&gt;">
        <w:rPr/>
        <w:t xml:space="preserve">Avelino Egido Vicente no compareció al juicio oral, haciéndolo en su representación su hijo, presentando para ello escritura de poderes con facultades, entre otras, para ratificarse en denuncias penales. Afirma la Sentencia que “con ello ha de considerarse ratificada en juicio la denuncia presentada por don Avelino Egido Vicente que consta en las actuaciones”. Tras valorar esta denuncia, la Sentencia establece que “se considera que la declaración de don Avelino Egido Vicente y el resto de las pruebas que se han mencionado, permiten declarar probados los hechos que se han dicho, posibilitan considerar enervada la presunción de inocencia que asiste a don Anastasio Egido Lorenzo”. </w:t>
      </w:r>
    </w:p>
    <w:p w:rsidRPr="00C21FFE" w:rsidR="00AD51A7" w:rsidRDefault="008777C4">
      <w:pPr>
        <w:rPr/>
      </w:pPr>
      <w:r w:rsidRPr="&lt;w:rPr xmlns:w=&quot;http://schemas.openxmlformats.org/wordprocessingml/2006/main&quot;&gt;&lt;w:lang w:val=&quot;es-ES_tradnl&quot; /&gt;&lt;/w:rPr&gt;">
        <w:rPr/>
        <w:t xml:space="preserve">b) Interpuesto recurso de apelación, fue desestimado por la Audiencia Provincial de Salamanca mediante Sentencia de fecha 1 de septiembre de 2006, en la que se indica que basta leer el contenido del acta del juicio para concluir en forma indubitada que por parte del Juzgador a quo no se ha incurrido en el error en la apreciación de la prueba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primer lugar la violación del derecho a un proceso con todas las garantías (art. 24.2 CE), y ello porque la declaración del denunciante, que constituye la prueba esencial de cargo, fue ratificada a presencia judicial por el hijo de aquél, no por el propio denunciante. Por tanto, su testimonio carece de la necesaria inmediación para que, una vez apreciada por el Juzgador, le haya otorgado un valor probatorio decisivo a efectos de sostener la condena penal, privando al demandante de su derecho a someterla a contradicción. En segundo lugar se queja de la violación del derecho a la presunción de inocencia (art. 24.2 CE), pues entiende que la prueba utilizada para sustentar la condena (la declaración de la víctima), además de lo anterior, no cumple los requisitos establecidos jurisprudencialmente para considerarse prueba de cargo, lo que determina la inexistencia de base suficiente para enervar el derecho a la presunción de inocencia. Finalmente, aduce la vulneración del derecho a utilizar los medios de prueba pertinentes para la defensa (art. 24.2 CE), dado que solicitó, tanto en primera instancia como en apelación, la práctica de prueba pericial médico forense a la vista de determinadas contradicciones existentes en los informes médicos obrantes en autos, prueba que fue desestimada, pese a su relevancia para decidir la controversia al tratarse de una falta de lesiones. En la demanda de amparo se solicita también, mediante otrosí, la suspensión de la ejecución de las penas impuestas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abril de 2008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17 de abril de 2008 el Ministerio Fiscal interesó la denegación de la suspensión solicitada de la pena privativa de libertad, alegando que en el presente caso debe prevalecer el interés general en la ejecución de las resoluciones judiciales, ya que el monto de la pena de multa es plenamente reintegrable si el amparo alcanzara su finalidad, ya que no se ha acreditado la imposibilidad de su satisfacción económica que llevaría aparejada la privación de libertad y otro tanto cabe decir de la indemnización acordada cuyo monto económico tampoco impediría su eventual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1I7.3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pena de multa impuesta (un mes con una cuota diaria de 6 euros),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teniendo en cuenta, en lo que a estos autos respecta, como el Fiscal apunta, la relativamente limitada cantidad impuesta en concepto de multa (180 euros), y que el recurrente no acredita la incidencia que esta circunstancia tenga en su situación económica, ni aduce razón específica que justifique la procedencia de la suspensión en su caso concreto “por los irreparables perjuicios que pudiera acarrearle la imposibilidad material de atender al pago, frustrando así la finalidad del amparo impetrado” (AATC 249/2000, de 30 de octubre, y 298/2004, de 19 de julio), conclusión esta que es igualmente aplicable a la condena al pago de la indemnización (ATC 36/2008, de 11 de febrero), que en este caso asciende a 175 euros, y de las costas procesales, pues al entrañar un pago en dinero, su ejecución no provoca ningún perjuicio que pueda hacer inútil el recurso de amparo (ATC 241/2005, de 6 de junio).</w:t>
      </w:r>
    </w:p>
    <w:p w:rsidRPr="00C21FFE" w:rsidR="00AD51A7" w:rsidRDefault="008777C4">
      <w:pPr>
        <w:rPr/>
      </w:pPr>
      <w:r w:rsidRPr="&lt;w:rPr xmlns:w=&quot;http://schemas.openxmlformats.org/wordprocessingml/2006/main&quot;&gt;&lt;w:lang w:val=&quot;es-ES_tradnl&quot; /&gt;&lt;/w:rPr&gt;">
        <w:rPr/>
        <w:t xml:space="preserve">Procede, por tanto, denegar la suspensión de la resolución impugnada en relación con la pena de multa impuesta y la condena al pago de una indemnización y de las costas procesales.</w:t>
      </w:r>
    </w:p>
    <w:p w:rsidRPr="00C21FFE" w:rsidR="00AD51A7" w:rsidRDefault="008777C4">
      <w:pPr>
        <w:rPr/>
      </w:pPr>
      <w:r w:rsidRPr="&lt;w:rPr xmlns:w=&quot;http://schemas.openxmlformats.org/wordprocessingml/2006/main&quot;&gt;&lt;w:lang w:val=&quot;es-ES_tradnl&quot; /&gt;&lt;/w:rPr&gt;">
        <w:rPr/>
        <w:t xml:space="preserve">Y en cuanto a la suspensión de la responsabilidad personal subsidiaria acordada, ha de advertirse que no procede en el momento actual al tratarse de una eventualidad incierta que depende de que la multa no llegase efectivamente a ser pagada, y en cualquier caso de una eventualidad futura, que, en caso de sobrevenir, podría dar lugar a la modificación de la resolución que ahora se adopta en virtud de lo dispuesto en el art. 57 LOTC (AATC 361/2003, de 10 de noviembre, y 117/2004, de 19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