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25 de abril de 2007, don Juan Carlos Estévez Fernández-Novoa, Procurador de los Tribunales, en nombre y representación de don Manuel José Galán Cordero, asistido por el Letrado don José Duarte González, interpuso recurso de amparo contra la Sentencia dictada por la Sección Tercera de la Audiencia Provincial de Badajoz el 14 de marzo de 2007 en el rollo de apelación núm. 235/2006, que estimó parcialmente los recursos de apelación interpuestos contra la Sentencia dictada por el Juzgado de lo Penal núm. 2 de Mérida, el 20 de abril de 2006, en el procedimiento abreviado núm. 18-2006.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condenado, junto a otras personas, por Sentencia de 20 de abril de 2006, dictada por el Juzgado de lo Penal núm. 2 de Mérida, como autor de un delito de detención ilegal (art. 163.1 y 2 CP), con la agravante de disfraz y abuso de superioridad, a la pena de tres años y seis meses de prisión, con la accesoria legal de inhabilitación especial para el ejercicio del derecho de sufragio pasivo durante el tiempo de la condena; y, como autor de una falta de lesiones (art. 617.1 CP), a la pena de dos meses de multa, con cuota diaria de 6 euros y responsabilidad personal subsidiaria de un día de privación de libertad por cada dos cuotas no satisfechas, así como al pago proporcional de las costas procesales causadas. </w:t>
      </w:r>
    </w:p>
    <w:p w:rsidRPr="00C21FFE" w:rsidR="00AD51A7" w:rsidRDefault="008777C4">
      <w:pPr>
        <w:rPr/>
      </w:pPr>
      <w:r w:rsidRPr="&lt;w:rPr xmlns:w=&quot;http://schemas.openxmlformats.org/wordprocessingml/2006/main&quot;&gt;&lt;w:lang w:val=&quot;es-ES_tradnl&quot; /&gt;&lt;/w:rPr&gt;">
        <w:rPr/>
        <w:t xml:space="preserve">b) Los condenados interpusieron recurso de apelación contra la anterior Sentencia, cuyo conocimiento correspondió a la Sección Tercera de la Audiencia Provincial de Badajoz, que los estimó parcialmente mediante Sentencia de 14 de marzo de 2007, que rebajó a tres años la pena de prisión impuesta a cada condenado, al apreciar en los mismos la circunstancia atenuante de drogadicción, confirmando el resto de los pronunciamientos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el derecho del recurrente a la presunción de inocencia (art. 24.2 CE). Por otrosí, en la misma demanda, el recurrente solicita que se deje en suspenso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2008 la Sección Segunda de este Tribunal acordó la admisión a trámite de la demanda de amparo, así como, a tenor de lo establecido en el art. 51 LOTC, requerir atentamente a la Sección Tercera de la Audiencia Provincial de Badajoz y al Juzgado de lo Penal núm. 2 de Mérida para que remitieran testimonio de sus respectivas actuaciones, interesándose al tiempo que se emplazase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13 de junio de 2008, reitera su petición de que este Tribunal proceda a suspender la ejecución de la Sentencia condenatoria, en tanto que, si finalmente se otorgara el amparo y no se hubiera acordado tal suspensión, la pérdida de libertad sería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también el 13 de junio de 2008,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por ser su cuantía moderada y no haber acreditado el recurrente la imposibilidad de abonarla.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comprendida la duración de la condena a pena de prisión —tres años— dentro de la posible duración de la tramitación del presente recurso, dicha pena privativa de libertad podría estar próxima a cumplirse —o se habría cumplido ya en su totalidad— en dicho momento.</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Pr="00C21FFE" w:rsidR="00AD51A7" w:rsidRDefault="008777C4">
      <w:pPr>
        <w:rPr/>
      </w:pPr>
      <w:r w:rsidRPr="&lt;w:rPr xmlns:w=&quot;http://schemas.openxmlformats.org/wordprocessingml/2006/main&quot;&gt;&lt;w:lang w:val=&quot;es-ES_tradnl&quot; /&gt;&lt;/w:rPr&gt;">
        <w:rPr/>
        <w:t xml:space="preserve">Por el contrario, la pena de multa y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Tercera de la Audiencia Provincial de Badajoz de 14 de marzo de 2007, recaída en el rollo de apelación núm. 235-2006, exclusivamente en lo referente a la pena privativa de libertad de tres años de</w:t>
      </w:r>
    </w:p>
    <w:p w:rsidRPr="" w:rsidR="00AD51A7" w:rsidRDefault="008777C4">
      <w:pPr>
        <w:rPr/>
      </w:pPr>
      <w:r w:rsidRPr="&lt;w:rPr xmlns:w=&quot;http://schemas.openxmlformats.org/wordprocessingml/2006/main&quot;&gt;&lt;w:szCs w:val=&quot;24&quot; /&gt;&lt;/w:rPr&gt;">
        <w:rPr/>
        <w:t xml:space="preserve">prisión y a la accesoria legal de inhabilitación especial para el ejercicio del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