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julio de 2006, el Procurador de los Tribunales don Adolfo Morales Hernández-Sanjuán, en nombre y representación de don Hassan al Hussein, interpuso recurso de amparo contra la Sentencia de fecha 31 de mayo de 2006 de la Sala Segunda del Tribunal Supremo, recaída en el recurso de casación núm. 1158-2005, interpuesto contra la dictada por la Sección Tercera de la Sala de lo Penal de la Audiencia Nacional en el rollo de sala núm. 64-2004.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Por Sentencia de 26 de septiembre de 2005, núm. 36/2005, dictada en el rollo 64-2004 y dimanante del sumario 35-2001 del Juzgado de Instrucción núm. 5 de la Audiencia Nacional, la Sala de lo Penal de la Audiencia Nacional (Sección Tercera) condenó, entre otros, a don Hassan al Hussein como autor de un delito de pertenencia o integración en organización terrorista, sin la concurrencia de circunstancias modificativas de la responsabilidad criminal a las penas de ocho años de prisión, nueve años de inhabilitación especial para empleo o cargo público y accesoria de inhabilitación especial para el derecho de sufragio pasivo durante el tiempo de la condena, y al pago de las costas procesales. </w:t>
      </w:r>
    </w:p>
    <w:p w:rsidRPr="00C21FFE" w:rsidR="00AD51A7" w:rsidRDefault="008777C4">
      <w:pPr>
        <w:rPr/>
      </w:pPr>
      <w:r w:rsidRPr="&lt;w:rPr xmlns:w=&quot;http://schemas.openxmlformats.org/wordprocessingml/2006/main&quot;&gt;&lt;w:lang w:val=&quot;es-ES_tradnl&quot; /&gt;&lt;/w:rPr&gt;">
        <w:rPr/>
        <w:t xml:space="preserve">b) Por la representación del demandante de amparo se interpuso recurso de casación ante la Sala de lo Penal del Tribunal Supremo, alegando infracción de precepto constitucional, al amparo del art. 5.4 LOPJ, infracción de ley, al amparo del art. 849.1 LECrim, y quebrantamiento de forma (art. 850.1 y 4 LECrim). La Sala dictó Sentencia núm. 556/2006, en fecha 31 de mayo de 2006, desestimando el recurso de casación interpuesto y condenando al Sr. Hassan al Hussein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Sentencia recurrida ha lesionado el derecho del recurrente a un proceso con todas las garantías (art. 24.2 CE) al haber sido utilizadas para la condena del Sr. Hassan al Hussein pruebas derivadas de intervenciones telefónicas declaradas nulas, cuya valoración resta prohibida a tenor del art. 11.1 LOPJ, y por la incorporación a la causa de determinadas pruebas documentales sin las debidas garantías, así como del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Mediante otrosí, solicitó que se acordase la suspensión de la pena privativa de libertad impuesta hasta tanto no se resuelva el presente recurso de amparo, dado que de no suspenderse la ejecución de la misma se ocasionaría al recurrente un perjuicio irreparable que dejaría totalmente en entredicho la eficacia de un eventual fallo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2008, dictada por la Sala Segunda del Tribunal Constitucional, se acordó admitir a trámite la demanda. Por otra providencia de esa misma fecha la Sala acordó formar la correspondiente pieza separada de suspensión de conformidad con lo solicitado por el demandante y, de acuerdo con lo prevenido en el art. 56 de la Ley Orgánica del tribunal Constitucional, conceder un plazo común de tres días al Ministerio Fiscal y al solicitante de amparo, para que, dentro de dicho término, alegasen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trámite de alegaciones mediante escrito registrado en este Tribunal con fecha de 13 de mayo de 2008, en el que, de conformidad con la reiterada doctrina de este Tribunal, consideraba que no resultaba procedente acceder a la suspensión de la pena privativa de libertad impuesta, habida cuenta, entre otros factores, de la gravedad de los hechos enjuiciados y de la duración de la pena impuesta, expresiva de la grave reprobación que el Ordenamiento asigna al hecho delictivo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evacuó idéntico trámite mediante escrito registrado en este Tribunal el día 8 de mayo de 2008, en el que insistía en su anterior alegación acerca de que la no concesión de la suspensión de la pena solicitada haría perder al amparo su legítima finalidad porque ocasionaría al demandante un perjuicio irreparable caso de estimarse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152/2006, de 8 de mayo y 357/2006, de 9 de octubre; 11/2008, de 28 de abril, por todos). Esta doctrina resulta igualmente aplicable a la condena en costas procesales, pues, al entrañar un pago en dinero, su ejecución no provoca ningún perjuicio que pueda hacer inútil el recurso de amparo.</w:t>
      </w:r>
    </w:p>
    <w:p w:rsidRPr="00C21FFE" w:rsidR="00AD51A7" w:rsidRDefault="008777C4">
      <w:pPr>
        <w:rPr/>
      </w:pPr>
      <w:r w:rsidRPr="&lt;w:rPr xmlns:w=&quot;http://schemas.openxmlformats.org/wordprocessingml/2006/main&quot;&gt;&lt;w:lang w:val=&quot;es-ES_tradnl&quot; /&gt;&lt;/w:rPr&gt;">
        <w:rPr/>
        <w:t xml:space="preserve">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(ATC 256/2003, de 14 de julio de 2003, FJ 2).</w:t>
      </w:r>
    </w:p>
    <w:p w:rsidRPr="00C21FFE" w:rsidR="00AD51A7" w:rsidRDefault="008777C4">
      <w:pPr>
        <w:rPr/>
      </w:pPr>
      <w:r w:rsidRPr="&lt;w:rPr xmlns:w=&quot;http://schemas.openxmlformats.org/wordprocessingml/2006/main&quot;&gt;&lt;w:lang w:val=&quot;es-ES_tradnl&quot; /&gt;&lt;/w:rPr&gt;">
        <w:rPr/>
        <w:t xml:space="preserve">Este criterio, no obstante, no es absoluto, pues la doctrina que hemos elaborado señala que, en este último supuesto,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9/2003, de 9 de enero, FJ 2 o 26/2003, de 28 de enero, FJ 2). Entre tales circunstancias adquiere especial significación la gravedad de la pena impuestas, porque, con ciertos matices que no hacen al caso, en ella se expresa la reprobación que el ordenamiento asigna al hecho delictivo y, por consiguiente, la magnitud del interés en su ejecución” (ATC 26/2003, de 28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conduce a denegar la suspensión de la pena privativa de libertad que le fue impuesta al recurrente por tiempo de ocho años como autor directo penalmente responsable de un delito de integración o pertenencia a organización terrorista. La gravedad de los hechos enjuiciados, la naturaleza y trascendencia social del bien jurídico protegido y la duración de la pena impuesta acreditan la grave reprobación que el Ordenamiento asigna al hecho delictivo, y, por consiguiente, la comprobada magnitud del interés en su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