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219</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14 de julio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Generalde este Tribunal el día 27 de julio de 2006, don Luis Rodríguez Rodríguez, bajo la dirección letrada del Abogado don Alfonso Cayuela Carlos, anunció la interposición de recurso de amparo, solicitando la designación de Procurador de turno de oficio constitucional. Por diligencia de ordenación de la Secretaría de Justicia de 24 de octubre de 2006, la Sala Segunda de este Tribunal procedió a tal solicitud, designándose por el Ilustre Colegio de Procuradores de Madrid a la Procuradora doña María Sonia Posac Ribera y teniéndola por designado este Tribunal por diligencia de ordenación de 24 de noviembre de 2006, tras de lo que se formalizó la demanda de amparo, registrada en este Tribunal el 28 de diciembre de 2006 contra Auto dictado por la Audiencia Provincial de Murcia (Sección Cuarta) de 22 de junio de 2006, que confirma la prórroga de la prisión provisional acordada por Auto del citado órgano judicial de 24 de mayo de 2006. En otrosí, solicita el recurrente la suspensión de los Autos impugnados, alegando que la prórroga de la prisión provisional vence el 25 de febrero de 2010, y su ejecución podría conllevar que quedara cumplida la medida cautelar antes de terminar el procedimiento de amparo, cuya eventual estimación supondría la pérdida de una de sus finalidades.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Segunda de este Tribunal, por providencia de 4 de julio de 2007, acordó admitir a trámite la demanda de amparo y, en aplicación de lo dispuesto en el art. 51 LOTC, dirigir sendas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del Tribunal Constitucional, por providencia de 22 de mayo de 2008, acordó formar la oportuna pieza para la tramitación del incidente de suspensión y, de conformidad con lo dispuesto en el art. 56 LOTC, otorgar un plazo común de tres días al demandante de amparo y al Ministerio Fiscal para que formulasen las alegaciones que tuvieran por conveniente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evacuó el trámite de alegaciones conferido mediante escrito presentado en el Registro general de este Tribunal el 5 de junio de 2008, en el que, enfatizando el carácter excepcional y de aplicación restrictiva de la suspensión, interesó que se denegara la solicitud de suspensión de la medida cautelar privativa de libertad, considerando, con la doctrina consolidada de este Tribunal, que su concesión supondría un otorgamiento anticipado del amparo. En todo caso, atendiendo a la situación de privación de libertad del recurrente, por el Ministerio Fiscal se interesó la tramitación con celeridad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no efectuó alegaciones en dicho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56.2 LOTC,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En la interpretación del art. 56.1 LOTC, en gran parte similar en su redacción a la reciente reforma de la Ley Orgánica 6/2007, este Tribunal ha venido entendiendo (AATC 17/1980, 57/1980, 257/1986, 249/1989, 294/1989, 141/1990, 35/1996, 287/1997, 185/1998, 86/1999 y 99/1999, entre otros) que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citado precepto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Por lo tanto, como regla general, la admisión de un recurso de amparo no suspende la ejecución de los actos recurridos, dada la presunción de legitimidad que alcanza a todas las actuaciones de los poderes públicos, si bien, dado el carácter cautelar de la suspensión debe ponderarse la concurrencia de los requisitos establecidos para su adopción atendiendo en primer lugar a determinar su presupuesto: esto es, que en caso de no adoptarse, se ocasionará al actor un perjuicio que hará perder al amparo su finalidad, debiendo ponderarse los intereses generales y los derechos fundamentales de terceros, cuya perturbación grave o lesión actúa como límite de la adopción de la medida cautelar, y del interés particular del demandante de amparo que alega a su vez la lesión de un derecho fundamental, siendo el potencial perjudicado quien ha de justificar el eventual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concreto, en relación con las peticiones de suspensión de resoluciones judiciales de prisión provisional, hemos dicho que “[c]uando se impugnan resoluciones de prisión provisional fundamentadas, precisamente, en que lo que se vulnera es el derecho a la libertad personal, la no suspensión de la resolución impugnada, y por tanto el mantenimiento de la privación de libertad decretada, siempre menoscaba la finalidad del amparo si éste fuera finalmente otorgado ya que la situación de privación de libertad se consolida hasta tal momento. Ahora bien, la automaticidad en decretar la suspensión de tales medidas supondría la resolución anticipada del fondo del recurso”. Añadiendo en la misma resolución que “[e]ste Tribunal no puede en este trámite efectuar el análisis de la cuestión de fondo ni anticipar su resolución, tampoco puede examinar ni cuestionar las bases fácticas sobre las que se sustenta la medida, por lo que en el caso concreto no puede indagar las finalidades concretas de la medida impugnada, aunque sí tener en cuenta que la prisión provisional es a priori, pese a su excepcionalidad, un medio insoslayable para posibilitar la administración de justicia penal y la evitación de nuevos comportamientos delictivos (STC 128/1995)” (Por todos, ATC 4/2006, de 16 de enero, FJ 1; 41/2007, de 12 de febrero, FJ 2).</w:t>
      </w:r>
    </w:p>
    <w:p w:rsidRPr="00C21FFE" w:rsidR="00AD51A7" w:rsidRDefault="008777C4">
      <w:pPr>
        <w:rPr/>
      </w:pPr>
      <w:r w:rsidRPr="&lt;w:rPr xmlns:w=&quot;http://schemas.openxmlformats.org/wordprocessingml/2006/main&quot;&gt;&lt;w:lang w:val=&quot;es-ES_tradnl&quot; /&gt;&lt;/w:rPr&gt;">
        <w:rPr/>
        <w:t xml:space="preserve">En el presente caso la aplicación de la específica doctrina constitucional reseñada conduce a la denegación de la solicitud de suspensión de las resoluciones impugnadas, pues acceder a la misma equivaldría —con independencia del alcance y efectos de una eventual sentencia estimatoria en este recurso— al otorgamiento anticipado del amparo solicitado; sin embargo, la gravedad y certeza de los perjuicios que esta denegación puede ocasionar obligan a este Tribunal a reducir en lo posible esos efectos, con lo que, como se ha hecho en otros casos (AATC 275/1999, 147/2000, 121/2001, 364/2003, 415/2004; 41/2007), la Sala acuerda acelerar la resolución del presente recurso, incluso anteponiéndola en el orden de señalamientos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los Autos recurridos.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