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junio de 2008 tiene entrada en el Registro General de este Tribunal un escrito del Juzgado de lo Penal núm. 2 de Toledo al que se acompaña, junto al testimonio del correspondiente procedimiento, el Auto del referido Juzgado de 25 de abril de 2008 en el que se acuerda plantear cuestión de inconstitucionalidad respecto al primer inciso del art. 153.1 del Código penal (CP) por su posible contradicción con los arts. 1.1, 9.2, 10.1, 14, 24.1, 24.2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quince Autos del mismo Juzgado que cuestionaban también el primer inciso del art. 153.1 CP. Las cuestiones a las que dieron lugar tales Autos fueron acumuladas y dieron lugar a la STC 80/2008, de 17 de julio. Un resumen del texto de esos Autos se encuentra en el antecedente 3 de esta Sentencia, al que ahora procede que nos remitamos. Muy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 julio de 2008, la Sección Tercera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14 de julio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4919-2008, planteada por el Juzgado de lo Penal núm. 2 de Toledo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