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marzo de 2008 tiene entrada en el Registro General de este Tribunal un escrito del Juzgado de lo Penal núm. 26 de Madrid al que se acompaña, junto al testimonio del correspondiente procedimiento, el Auto del referido Juzgado de 14 de marzo de 2008 en el que se acuerda plantear cuestión de inconstitucionalidad respecto al art. 153.1 y 153.3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han dado lugar a la STC 101/2008, de 24 de julio.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 </w:t>
      </w:r>
    </w:p>
    <w:p w:rsidRPr="00C21FFE" w:rsidR="00AD51A7" w:rsidRDefault="008777C4">
      <w:pPr>
        <w:rPr/>
      </w:pPr>
      <w:r w:rsidRPr="&lt;w:rPr xmlns:w=&quot;http://schemas.openxmlformats.org/wordprocessingml/2006/main&quot;&gt;&lt;w:lang w:val=&quot;es-ES_tradnl&quot; /&gt;&lt;/w:rPr&gt;">
        <w:rPr/>
        <w:t xml:space="preserve">En la parte dispositiva del Auto se incluye también el cuestionamiento del art. 153.3 CP, sin que en la fundamentación de la resolución se formule razonamiento autónomo alguno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12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han dado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Pr="00C21FFE" w:rsidR="00AD51A7" w:rsidRDefault="008777C4">
      <w:pPr>
        <w:rPr/>
      </w:pPr>
      <w:r w:rsidRPr="&lt;w:rPr xmlns:w=&quot;http://schemas.openxmlformats.org/wordprocessingml/2006/main&quot;&gt;&lt;w:lang w:val=&quot;es-ES_tradnl&quot; /&gt;&lt;/w:rPr&gt;">
        <w:rPr/>
        <w:t xml:space="preserve">Tampoco resulta admisible la cuestión en lo que respecta al art. 153.3 CP, dada la ausencia de razonamiento que la sostenga y, por ello, la falta de una de las condiciones procesales (art. 37.1 LOTC) que el art. 35.2 LOTC exige al cuestionamiento (por todas, STC 17/1981, de 1 de junio, FJ 1; ATC 273/2005, de 21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2346-2008, planteada por el Juzgado de lo Penal núm. 26 de Madrid respecto a los arts. 153.1 y 153.3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