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15 de enero de 2007, la Procuradora de los Tribunales doña Isabel Díaz Solano, en nombre y representación de doña Irene Cortés Lucas, interpuso recurso de amparo contra la Sentencia de la Sala Segunda del Tribunal Supremo de 30 de noviembre de 2006 que confirmó la condena a siete años de prisión y multa de 100.000 euros, con accesoria de inhabilitación especial para el derecho de sufragio pasivo durante el tiempo de la condena, impuesta por la Sentencia de la Audiencia Provincial de Málaga (Sección Octava) de 30 de noviembre de 2005, recaída en sumario 2-2004,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1 de julio de 2008, acordó admitir a trámite la demanda de amparo y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conferido mediante escrito presentado en el Registro General de este Tribunal el 10 de julio de 2008, considerando improcedente tanto la suspensión de la ejecución de la pena privativa de libertad de siete años de duración y penas accesorias, en aplicación de la reiterada doctrina de este Tribunal que sitúa el límite de las penas que pueden ser suspendidas en cinco años de prisión, como la pena de multa, por no conllevar su abono un perjuicio irreversible.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demandante de amparo evacuó el trámite de alegaciones conferido mediante escrito presentado en el Registro General de este Tribunal el día 14 de julio de 2008, en el que reiteró los argumentos aducidos en la demanda de amparo acerca de la suspensión de la pena, manifestando que teniendo en cuenta el tiempo en que estuvo privada de libertad provisionalmente —diecisiete meses— y el tiempo que conlleva la tramitación de un recurso de amparo, la no suspensión ocasionaría un perjuicio irreparable que dejaría en entredicho la eficacia de un eventual fallo estimatorio.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 reforma llevada a cabo por la Ley Orgánica 6/2007, el art. 56.2 LOTC establece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anterior art. 56.1 LOTC, en gran parte similar en su redacción al texto transcrito,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Cuando de la suspensión de la ejecución de condenas penales se trata la evaluación de la gravedad de la perturbación que para el interés general tiene la suspensión de la ejecución de una pena constituye un juicio complejo dependiente de diversos factores,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sometido a nuestra consideración la pena impuesta alcanza los siete años de prisión y, aun cuando tuviéramos en cuenta los meses pasados en prisión provisional a los efectos de su descuento de la pena, la cifra resultante sería en todo caso superior a la duración que este Tribunal ha venido considerando como límite a partir del cual no resulta, en principio, procedente la suspensión. Teniendo en cuenta, además, la gravedad y lesividad inherente al delito de tráfico de drogas por el que la demandante de amparo ha sido condenada, debemos, en conclusión, denegar la suspensión de la pena privativa de libertad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misma conclusión hemos de llegar con respecto a la pena de multa impuesta.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como acontece en el presente caso,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