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30 de mayo de 2007, dictada por la Sala Segunda del Tribunal Supremo que resuelve el recurso de casación interpuesto contra la Sentencia de 29 de junio de 2006, dictada por la Sección Sexta de la Audiencia Provincial de Barcelona en el rollo de apelación núm. 3-2005. </w:t>
      </w:r>
    </w:p>
    <w:p w:rsidRPr="00C21FFE" w:rsidR="00AD51A7" w:rsidRDefault="008777C4">
      <w:pPr>
        <w:rPr/>
      </w:pPr>
      <w:r w:rsidRPr="&lt;w:rPr xmlns:w=&quot;http://schemas.openxmlformats.org/wordprocessingml/2006/main&quot;&gt;&lt;w:lang w:val=&quot;es-ES_tradnl&quot; /&gt;&lt;/w:rPr&gt;">
        <w:rPr/>
        <w:t xml:space="preserve">Mediante escrito fechado el 16 de julio de 2008 dirigido al Excmo. Sr. Vicepresidente del Tribunal Constitucional, el Magistrado don Eugenio Gay Montalvo comunicó a los efectos oportunos que se abstenía de intervenir en el antes indicado recurso de amparo, de conformidad con el art. 80 LOTC, por entender que concurría la causa prevista en el art. 219.2ª LOPJ: “parentesco por consaguinidad o afinidad dentro del segundo grado con el letrado o procurador de cualquiera de las partes que intervengan en pleito o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Eugenio Gay Montalvo, Magistrado de esta Sala Segunda del Tribunal Constitucional, la Sala, en virtud de lo previsto en los arts. 80 LOTC y 219.2ª y 221.4 de la Ley Orgánica del Poder Judicial (LOPJ), estima</w:t>
      </w:r>
    </w:p>
    <w:p w:rsidRPr="00C21FFE" w:rsidR="00AD51A7" w:rsidRDefault="008777C4">
      <w:pPr>
        <w:rPr/>
      </w:pPr>
      <w:r w:rsidRPr="&lt;w:rPr xmlns:w=&quot;http://schemas.openxmlformats.org/wordprocessingml/2006/main&quot;&gt;&lt;w:lang w:val=&quot;es-ES_tradnl&quot; /&gt;&lt;/w:rPr&gt;">
        <w:rPr/>
        <w:t xml:space="preserve">justificada la causa de abstención formulada, puesto que el mencionado Magistrado tiene relación de parentesco por consaguinidad con el Letrado que asiste a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Eugenio Gay Montalvo en el recurso de amparo con número de registro 7859-2007,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