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mercantil demandante fue sometida a un procedimiento de comprobación e inspección por parte de los órganos competentes de la Administración tributaria en relación con las declaraciones de IVA en el ejercicio 2000. Como consecuencia de dicho procedimiento se inició expediente sancionador por infracción tributaria que finalizó con la imposición de una sanción de 28.397,82 euros. La resolución administrativa sancionadora fue recurrida ante el Tribunal Económico-Administrativo de la región de Extremadura, que desestimó el recurso. Interpuesto recurso ante el Tribunal Superior de Justicia de Extremadura, éste también se pronunció en el mismo sentido desestimatorio en Sentencia de 30 de marzo de 2006. Contra la Sentencia del Tribunal Superior de Justicia de Extremadura la entidad mercantil demandante interpuso recurso de amparo, que tuvo entrada en este Tribunal el 27 de abril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un momento posterior, el 7 de septiembre de 2006, la entidad recurrente presentó escrito en este Tribunal solicitando la suspensión del acto administrativo impugnado, pues la Delegación especial de la Agencia Tributaria de Extremadura exige al recurrente el pago de las sanciones tributarias. El recurrente aduce que, si se ejecuta la sanción objeto de impugnación, la finalidad legítima del recurso de amparo se perdería. Alega también que no considera firme el acto administrativo impugnado y que el art. 35 de la Ley 1/98, de 26 de febrero, de derechos y garantías del contribuyente, excluye la necesidad de constituir garantía para obtener la suspensión del acto recurrido, bastando con la presentación en tiempo y forma del oportuno recurso o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sendas providencias de 29 de marzo de 2007, acordó admitir a trámite la demanda de amparo y formar la oportuna pieza para la tramitación del incidente de suspensión, otorgando, de conformidad con lo dispuesto en el art. 56 LOTC, un plazo común de tres días a la entidad mercantil demandante de amparo y al Ministerio público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evacuó el trámite de alegaciones conferido mediante escrito presentado en el Registro General de este Tribunal el 16 de abril de 2007, en el que interesó la denegación de la suspensión considerando que, con arreglo a la doctrina constitucional, al tratarse de una sanción de contenido económico, los perjuicios anejos a su ejecución son perfectamente reparables en caso de otorgarse el amparo (AATC 152/1996, 371/1996, 91/1997, 181/1998, 82/1998). Añade que dicho criterio se ve confirmado por el dato añadido de que la empresa recurrente no subviene a la carga que le asiste de acreditar los graves quebrantos que le causa el cumplimiento de lo resuelto, sino que, muy al contrario, no añade ninguna razón para tal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sociedad mercantil demandante de amparo evacuó el trámite de alegaciones conferido mediante escrito presentado en el Registro General de este Tribunal el día 11 de abril de 2007, en el que reiteró la petición de suspensión del acto administrativo recurrido, afirmando que, de no acordarse ésta, perdería la finalidad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 la reciente reforma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Delegación especial de la Agencia Tributaria de Extremadura exige a la entidad mercantil recurrente el pago de una sanción tributaria. La sociedad demandante de amparo solicita la suspensión de la ejecución de la sanción objeto de impugnación por entender que, si se produjera la ejecución, la finalidad legítima del recurso se perdería. 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supuesto sometido a nuestro enjuiciamiento, no aduce razón alguna que justifique la pertinencia de la suspensión en su caso concreto por los irreparables perjuicios que pudiere acarrearle la imposibilidad material de atender a dicho pago, frustrando irremediablemente la finalidad del amparo impetrado.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