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370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17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Como consecuencia del escrito presentado el 1 de febrero de 2007 por don Manuel Tena Gallench, interno en un Centro penitenciario, y tras la designación de Procurador y Abogado de oficio, con fecha 7 de junio de 2007 la Procuradora doña Susana Clemente Mármol, en representación del recurrente, formuló demanda de amparo contra el Auto de la Sección Primera de la Sala de lo Penal de la Audiencia Nacional, de 6 de febrero de 2006, desestimatorio de la solicitud de revisión de la Sentencia núm. 42/2003, de 3 de noviembre, en la que la Sección Primera de la Audiencia Nacional había condenado al demandante de amparo a la pena de cuatro años y seis meses de prisión. </w:t>
      </w:r>
    </w:p>
    <w:p w:rsidRPr="00C21FFE" w:rsidR="00AD51A7" w:rsidRDefault="008777C4">
      <w:pPr>
        <w:rPr/>
      </w:pPr>
      <w:r w:rsidRPr="&lt;w:rPr xmlns:w=&quot;http://schemas.openxmlformats.org/wordprocessingml/2006/main&quot;&gt;&lt;w:lang w:val=&quot;es-ES_tradnl&quot; /&gt;&lt;/w:rPr&gt;">
        <w:rPr/>
        <w:t xml:space="preserve">La demanda termina solicitando “la inmediata suspensión de la pena que mi patrocinado se encuentra cumpliendo, con el fin de no causarle más perturbación, al amparo de lo dispuesto en el art. 56.1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22 de julio de 2008 la Sala Segunda de este Tribunal acordó admitir a trámite la demanda de amparo. Y, en una segunda providencia de la misma fecha, se acordó formar pieza separada para la tramitación de la solicitud de suspensión formulada en la demanda y conceder al demandante y al Ministerio público plazo de tres días para que alegaran lo que estimasen conveniente en relación con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formuló alegaciones mediante escrito presentado el 31 de julio de 2008, en el cual, tras recoger los antecedentes necesarios para la resolución de esta pieza separada y la doctrina constitucional en torno a la suspensión de las penas privativas de libertad, considera procedente la suspensión de la pena privativa de libertad. Razona que, dado el tiempo que normalmente consume la tramitación y resolución de los recursos de amparo, y que el demandante ha cumplido más de tres años de prisión de la condena impuesta, la eventual estimación de la demanda de amparo no produciría el efecto preservador de los derechos fundamentales que le es propio, pues la condena se habría ya cumplido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demandante de amparo, mediante escrito presentado el 3 de septiembre de 2008, evacuó el trámite conferido poniendo en conocimiento de este Tribunal que su patrocinado se hallaba ya en libertad al haber extinguido la condena que se encuentra en el origen de este recurso de amparo, si bien la dilación que denuncia le ha producido el perjuicio de haber cumplido su condena hasta el último día.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acto del poder público frente al que se demanda amparo no está constituido por la resolución judicial determinante de la privación de libertad del demandante (esto es, por la Sentencia que le condenó a una pena privativa de libertad) cuya suspensión se solicita, sino por el Auto que desestimó su solicitud de revisión de la condena. Consecuentemente la suspensión de la ejecución de la pena que en la demanda se postula no derivaría de la suspensión de la resolución recurrida (medida cautelar más común), sino que se trataría de una medida cautelar positiva, distinta de la suspensión de la resolución recurrida, que carece ya de objeto, en la medida en que, tal como se acredita en el escrito de alegaciones, el demandante de amparo ha extinguido ya su condena y se encuentra en libertad. Así lo hemos afirmado con reiteración (por todas ATC 110/2008, de 14 de abril), al sostener que la ejecución de la resolución cuya suspensión se solicita conlleva la pérdida de objeto de la solicitud de suspensión haciendo improcedente cualquier decisión al respecto, y así lo hemos acordado en supuestos en los que la pena de prisión cuya suspensión se solicitaba, de uno u otro modo, había sido ya cumplida (ATC 95/2006, de 27 de marzo).</w:t>
      </w:r>
    </w:p>
    <w:p w:rsidRPr="00C21FFE" w:rsidR="00AD51A7" w:rsidRDefault="008777C4">
      <w:pPr>
        <w:rPr/>
      </w:pPr>
      <w:r w:rsidRPr="&lt;w:rPr xmlns:w=&quot;http://schemas.openxmlformats.org/wordprocessingml/2006/main&quot;&gt;&lt;w:lang w:val=&quot;es-ES_tradnl&quot; /&gt;&lt;/w:rPr&gt;">
        <w:rPr/>
        <w:t xml:space="preserve">Por lo demás, a la vista de que en la demanda no se contiene razonamiento alguno en relación con la procedencia de suspensión que se interesa, “hay que recordar nuestra reiterada doctrina que desarrolla la carga de alegación y de argumentación que pesa sobre los demandantes de amparo (por todas, STC 226/2002, de 9 de diciembre, FJ 2), cargas que no sólo implican la necesidad de abrir la vía para que este Tribunal pueda pronunciarse, sino también la de proporcionar la fundamentación fáctica y jurídica que razonablemente es de esperar de acuerdo con el deber de colaborar con la justicia del Tribunal Constitucional (SSTC 32/1999, de 8 de marzo, FJ 5, y 21/2001, de 29 de enero, FJ 3, por todas), razonabilidad que, a su vez, depende de los concretos motivos y vulneraciones invocados en relación con la naturaleza de la resolución recurrida y el supuesto de hecho” (ATC 281/2007, de 18 de junio).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pérdida de objeto del presente incidente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