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enero de 2007, la Procuradora de los Tribunales doña Isabel Díez Solando, en nombre y representación de doña María Paz Martínez Morilla, interpuso recurso de amparo contra la Sentencia de 30 de noviembre de 2006 dictada por la Sala de lo Penal del Tribunal Supremo, que confirmó la condena a cuatro años y seis meses de prisión y multa de 100.000 euros con la accesoria de inhabilitación especial para el derecho de sufragio pasivo durante el tiempo de la condena, impuesta por la Sentencia de la Sección Octava de la Audiencia Provincial de Málaga de 30 de noviembre de 2005, recaída en sumario 2-2004, por delito contra la salud pública. Por otrosí, en la misma demanda de amparo se solicitó la suspensión de la ejecución de la Sentencia dictada por la Audiencia Provincial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diciembre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trámite de alegaciones mediante escrito registrado en este Tribunal con fecha de 7 de enero de 2009 en el que interesó la estimación de la solicitud de suspensión formalizada por la parte demandante exclusivamente en lo referente a la ejecución de la pena privativa de libertad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recurrente, por su parte, evacuó idéntico trámite mediante escrito registrado en este Tribunal con fecha 30 de diciembre de 2008, insistiendo en su anterior alegación acerca de que la no concesión de la suspensión de la pena solicitada haría perder al amparo su legítima finalidad porque ocasionaría al demandante un perjuicio irreparable caso de estimarse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que traduce la importancia del bien jurídico tutelado y la trascendencia social del delito y, en consecuencia, la magnitud del interés general en su ejecución, siendo criterio general de este Tribunal la no suspensión de condenas a penas privativas de libertad superiores a cinco años” (por todas, ATC 395/2008, de 22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aquí se examina de la doctrina referida obliga a considerar, si se compara la duración de la pena privativa de libertad impuesta al demandante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cambio no procede la suspensión del resto de pronunciamientos condenatorios que contiene la Sentencia antedicha, esto es, la pena de multa, puesto que, al dato de que el recurrente no realiza una concreta solicitud en tal sentido en su demanda, como tampoco en el posterior escrito de alegaciones —en el que se refiere únicamente a la pena privativa de libertad—, ni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395/2008, de 22 de diciembre,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Octava de la Audiencia Provincial de Málaga de 30 de noviembre de 2005, exclusivamente en lo que se refiere a la pena de cuatro años y seis meses de prisión con la accesoria de inhabilitación</w:t>
      </w:r>
    </w:p>
    <w:p w:rsidRPr="" w:rsidR="00AD51A7" w:rsidRDefault="008777C4">
      <w:pPr>
        <w:rPr/>
      </w:pPr>
      <w:r w:rsidRPr="&lt;w:rPr xmlns:w=&quot;http://schemas.openxmlformats.org/wordprocessingml/2006/main&quot;&gt;&lt;w:szCs w:val=&quot;24&quot; /&gt;&lt;/w:rPr&gt;">
        <w:rPr/>
        <w:t xml:space="preserve">especial para el derecho de sufragio pasivo durante el tiempo de la condena, por el delito contra la salud pública, impuesta a la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