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24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julio de 2006 tuvo entrada en el Registro General de este Tribunal un escrito de la Sala Contencioso-Administrativo del Tribunal Superior de Justicia de Navarra, al que se acompaña, junto con el testimonio del correspondiente procedimiento, el Auto de 16 de junio de 2006, por el que se acuerda plantear cuestión de inconstitucionalidad en relación con la disposición adicional primera, apartado 1, de la Ley Foral 11/2004, de 29 de octubre, que actualiza el régimen local de Navarra, por su posible contradicción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por providencia de 12 de septiembre de 2006, acordó admitir a trámite la cuestión planteada, con número de registro 7557-2006;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oír a las partes sobre la posible acumulación de esta cuestión con las registradas con los núms. 7514-2005, 7515-2005 y 7885-2005, promovidas por la misma Sala y ya acumuladas por Auto de 28 de febrero de 2006 y, en fin, publicar la incoación de la cuestión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fecha 21 de septiembre de 2006, se personó en nombre del Gobierno, manifestando que se abstenía de formular alegaciones, aunque solicitó se le notifique en su día la Sentencia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22 de septiembre de 2006 el Presidente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por escrito registrado en fecha 27 de septiembre de 2006,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Asesor Jurídico-Letrado de la Comunidad Foral de Navarro, en representación de la Comunidad Foral, se personó en el procedimiento mediante escrito registrado el 28 de septiembre de 2006, en el que tras formular las alegaciones que tuvo por conveniente, solicitó se dicte en su día Sentencia en la que se declare la constitucionalidad de la disposición legal cuestionada y manifestó que no se opone a la acumulación de la presente cuestión con las registradas con los números 7514-2005, 7515-2005 y 7885-2005.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de alegaciones conferido mediante escrito registrado en fecha 5 de octubre de 2006, en el que interesó la estimación de la cuestión de inconstitucionalidad, así como, dada la identidad de objeto y de fundamento entre la presente cuestión con las registradas con los núms. 7514-2005, 7515-2005 y 7885-2005, la acumulación de la presente a las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Navarra, en representación de la Cámara, se personó en el procedimiento mediante escrito registrado en fecha 9 de octubre de 2006, en el que, tras formular las alegaciones que tuvo por conveniente, solicitó la acumulación de la presente cuestión a las cuestiones núms. 7514-2005, 7515-2005 y 7885-2005 y que se dicte en su día Sentencia en la que se declare la constitucionalidad de la disposición legal cuestionada.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(AATC 358/2005, de 11 de octubre; 412/2005 de 12 de noviembre,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las cuestiones de inconstitucionalidad registradas con los núms. 7514-2005, 7515-2005, 7885-2005 y 7557-2006 una indudable conexión que además es relevante para su tramitación y decisión unitaria, pues han sido planteadas por el mismo órgano judicial en relación con idéntica disposición legal, versando, por lo tanto, sobre el mismo asunto, relativo a la compatibilidad del proceso restringido para acceder a la condición de secretario e interventor de las entidades locales de Navarra que regula la disposición legal cuestionada con el derecho a acceder en condiciones de igualdad a las funciones públicas, con los requisitos que señalen las leyes (art. 23.2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 7557-2006 con las cuestiones de inconstitucionalidad núms. 7514-2005, 7515-2005 y 7885-2005.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