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marzo de 2009 tiene entrada en este Tribunal, con el núm. 2342/2009, un escrito de la Secretaría Judicial del Juzgado de lo Penal núm. 2 de Toledo al que se acompaña, junto al testimonio de los autos del procedimiento abreviado núm. 378-2007, el Auto del referido Juzgado de 23 de febrero de 2009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24 de marzo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15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FJ 3). Que esta evidencia se produzca sólo con carácter sobrevenido al planteamiento</w:t>
      </w:r>
    </w:p>
    <w:p w:rsidRPr="00C21FFE" w:rsidR="00AD51A7" w:rsidRDefault="008777C4">
      <w:pPr>
        <w:rPr/>
      </w:pPr>
      <w:r w:rsidRPr="&lt;w:rPr xmlns:w=&quot;http://schemas.openxmlformats.org/wordprocessingml/2006/main&quot;&gt;&lt;w:lang w:val=&quot;es-ES_tradnl&quot; /&gt;&lt;/w:rPr&gt;">
        <w:rPr/>
        <w:t xml:space="preserve">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2342-2009,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2342-2009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