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21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noviembre de 2006 tuvo entrada en el Registro General de este Tribunal Constitucional oficio del Juzgado de lo Penal núm. 2 de Toledo al que se adjuntaba testimonio de las actuaciones correspondientes al juicio oral núm. 227-2006, en cumplimiento del Auto del mismo órgano jurisdiccional de 16 de noviembre de 2006, que se acompañaba, por el que se acuerda plantear cuestión de inconstitucionalidad respecto de los arts. 153.1 y 171.4 del Código penal (CP) en la redacción dada a los mismos por la Ley Orgánica 1/2004, de 28 de diciembre, de medidas de protección integral contra la violencia de género, por su posible contradicción con los arts. 1, 9, 10, 14, 17.1, 24 y 25.1 de la Constitución. </w:t>
      </w:r>
    </w:p>
    <w:p w:rsidRPr="00C21FFE" w:rsidR="00AD51A7" w:rsidRDefault="008777C4">
      <w:pPr>
        <w:rPr/>
      </w:pPr>
      <w:r w:rsidRPr="&lt;w:rPr xmlns:w=&quot;http://schemas.openxmlformats.org/wordprocessingml/2006/main&quot;&gt;&lt;w:lang w:val=&quot;es-ES_tradnl&quot; /&gt;&lt;/w:rPr&gt;">
        <w:rPr/>
        <w:t xml:space="preserve">El mismo Juzgado, mediante Auto de 24 de abril de 2007 dictado en el seno del juicio rápido núm. 1025-2005, acordó el planteamiento de una nueva cuestión de inconstitucionalidad sobre los mismos preceptos y sobre la base de los mismos argumentos. Dicho Auto, acompañado de las correspondientes actuaciones, tuvo entrada en este Tribunal el 22 de mayo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mediante sendas providencias de 13 de febrero de 2007 y de 19 de junio de 2007, admitió a trámite las cuestiones de inconstitucionalidad con los números de referencia 10789-2006 y 4615-2007, respectivamente. En ambas providencias se acordaba dar traslado de las actuaciones al Congreso de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2 de marzo de 2007 y el 10 de julio de 2007, respectivamente. </w:t>
      </w:r>
    </w:p>
    <w:p w:rsidRPr="00C21FFE" w:rsidR="00AD51A7" w:rsidRDefault="008777C4">
      <w:pPr>
        <w:rPr/>
      </w:pPr>
      <w:r w:rsidRPr="&lt;w:rPr xmlns:w=&quot;http://schemas.openxmlformats.org/wordprocessingml/2006/main&quot;&gt;&lt;w:lang w:val=&quot;es-ES_tradnl&quot; /&gt;&lt;/w:rPr&gt;">
        <w:rPr/>
        <w:t xml:space="preserve">a) El Presidente del Congreso de los Diputados comunica en ambos procedimientos que la Mesa de la Cámara ha acordado dar por personada a la Cámara en los mismos, ofreciendo su colaboración a los efectos de lo previsto en el art. 88.1 LOTC. </w:t>
      </w:r>
    </w:p>
    <w:p w:rsidRPr="00C21FFE" w:rsidR="00AD51A7" w:rsidRDefault="008777C4">
      <w:pPr>
        <w:rPr/>
      </w:pPr>
      <w:r w:rsidRPr="&lt;w:rPr xmlns:w=&quot;http://schemas.openxmlformats.org/wordprocessingml/2006/main&quot;&gt;&lt;w:lang w:val=&quot;es-ES_tradnl&quot; /&gt;&lt;/w:rPr&gt;">
        <w:rPr/>
        <w:t xml:space="preserve">b) El Presidente del Senado, en ambos procedimientos, pone en conocimiento de este Tribunal el acuerdo de la Mesa de la Cámara por el que se decide su personación en el procedimiento, ofreciendo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c) El Abogado del Estado se personó en nombre del Gobierno en ambos procedimientos, formulando alegaciones para concluir suplicando que se dicte Sentencia en la que se declare la cuestión parcialmente inadmisible, desestimándola en lo demás, o, subsidiariamente, que se desestime en su totalidad. </w:t>
      </w:r>
    </w:p>
    <w:p w:rsidRPr="00C21FFE" w:rsidR="00AD51A7" w:rsidRDefault="008777C4">
      <w:pPr>
        <w:rPr/>
      </w:pPr>
      <w:r w:rsidRPr="&lt;w:rPr xmlns:w=&quot;http://schemas.openxmlformats.org/wordprocessingml/2006/main&quot;&gt;&lt;w:lang w:val=&quot;es-ES_tradnl&quot; /&gt;&lt;/w:rPr&gt;">
        <w:rPr/>
        <w:t xml:space="preserve">d) El Fiscal General del Estado formuló alegaciones en ambos procedimientos, concluyendo en ambos casos que los preceptos cuestionados no vulneran el ordenamiento si bien en el caso de la cuestión núm. 10789-2006 advirtió de forma añadida que la misma no cumplía los requisitos procesales para su admisión en lo referente al art. 153.1 del Código penal, por no estar en vigor el precepto cuestionado en el momento de producirse los hechos objeto del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junio de 2009, este Tribunal concedió un plazo de diez días al Abogado del Estado y al Fiscal General del Estado para que pudiesen alegar lo que estimasen oportuno sobre la acumulación a la cuestión de inconstitucionalidad núm. 10789-2006 de la núm. 4615-2007.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que tuvo entrada en este Tribunal el 6 de julio de 2009 el Abogado del Estado suplica que se acuerde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14 de julio de 2009 tuvo entrada en este Tribunal escrito del Fiscal General del Estado en el que afirma expresamente que “entiende debe procederse a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como ha recordado reiteradamente este Tribunal (por todos, ATC 199/2008, de 2 de julio, FJ 1), que concurran dos condiciones necesarias: por una parte, la conexión entre los objetos de los procesos de que se trate; por otra, que tal conexión sea relevante para a su tramitación y decisión unitarias o, lo que es lo mismo y expresado con las propias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cabe ninguna duda de que concurre el primer requisito por ser idéntico el objeto de ambos procesos: los arts. 153.1 y 171.4 del Código penal (CP), de cuya constitucionalidad se duda a la luz de los mismos preceptos constitucionales —arts. 1, 9, 10, 14, 17.1, 24 y 25.1— y en función de los mismos argumentos, reflejados en sendos Autos sustancialmente iguales dictados por el mismo Juzgado. Todo ello justifica una tramitación unitaria, para su mayor agilidad y para facilitar una resolución coherente de las cuestiones. Así lo confirma el interés mostrado en la acumulación tanto por el Ministerio Fiscal como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lo previsto en el art. 84 de la Ley de enjuiciamiento civil, aplicable por remisión del art. 80 LOTC, la acumulación debe hacerse de las cuestiones más modernas a la más antigua, por lo que, en el caso presente, procede la acumulación de la cuestión de inconstitucionalidad núm. 4615-2007 a la núm. 10789-2006.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 4615-2007 a la cuestión de inconstitucionalidad núm. 10789-2006, que seguirán así una misma tramitación hasta su resolución también única por el Pleno, desde el común estado procesal en que se hallan,</w:t>
      </w:r>
    </w:p>
    <w:p w:rsidRPr="" w:rsidR="00AD51A7" w:rsidRDefault="008777C4">
      <w:pPr>
        <w:rPr/>
      </w:pPr>
      <w:r w:rsidRPr="&lt;w:rPr xmlns:w=&quot;http://schemas.openxmlformats.org/wordprocessingml/2006/main&quot;&gt;&lt;w:szCs w:val=&quot;24&quot; /&gt;&lt;/w:rPr&gt;">
        <w:rPr/>
        <w:t xml:space="preserve">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