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6 de julio de 2000 el Letrado de Comunidad Autónoma de Aragón, en la representación que legalmente ostenta de su Consejo de Gobierno, promueve conflicto positivo de competencia contra determinados preceptos del Real Decreto 324/2000, de 3 de marzo, por el que se establecen las normas básicas de ordenación de las explotaciones porcinas. El escrito de interposición concluye solicitando, mediante otrosí, que, al amparo de lo previsto por el art. 64.3 LOTC, se suspendan las disposiciones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Tribunal Constitucional de 25 de julio de 2000 se acordó admitir a trámite el conflicto positivo de competencia planteado por el Gobierno de Aragón en relación con los arts. 1.1; 2.2 j); 2.2 k); 2.2 m); 3 B); 5.Uno B).1; 5.Dos A).1; 7.7; 8.3 y las disposiciones adicional segunda y transitorias primera y segunda del Real Decreto 324/2000, de 3 de marzo, por el que se establecen normas básicas de ordenación de las explotaciones porcinas; dar traslado de la demanda y documentos presentados al Gobierno de la Nación, por conducto de su Presidente, al objeto de que en plazo de veinte días y por medio de la representación procesal que determina el art. 82.2 LOTC aporte cuantos documentos y alegaciones considere convenientes; comunicar la incoación del conflicto a la Sala de lo Contencioso-Administrativo del Tribunal Supremo por si ante la misma estuviera impugnado o se impugnaré el referido Real Decreto, en cuyo caso se suspenderá el curso del proceso hasta la decisión del conflicto, según dispone el art. 61.2 LOTC; oír al Abogado del Estado para que, en el mismo plazo del traslado exponga lo que considere conveniente acerca de lo que se pide en el otrosí de la demanda respecto a la suspensión de las disposiciones normativas objeto del conflicto, al amparo de lo previsto en el art. 64.3 LOTC y, finalmente, publicar la incoación del conflicto en el “Boletín Oficial del Estado” y en el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mediante escrito registrado en fecha 10 de agosto de 2000, se personó en nombre del Gobierno y, tras formular las alegaciones que tuvo por conveniente, solicitó la desestimación del conflicto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ATC 162/2001, de 19 de junio, el Pleno del Tribunal Constitucional acordó no acceder a la suspensión solicitada de los arts. 1.1; 2.2 j); 2.2 k); 2.2 m); 3 B); 5 .Uno B).1; 5. Dos A).1; 7.7; 8.3 y de las disposiciones adicional segunda y transitorias primera y segunda del Real Decreto 324/2000, de 3 de marzo, por el que se establecen normas básicas de ordenación de las explotaciones porcinas.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10 de mayo de 2001, el Letrado de la Comunidad Autónoma de Aragón, en la representación que legalmente ostenta, promueve conflicto positivo de competencia contra los apartados 1 y 2 a) del art. único del Real Decreto 3483/2000, de 29 de diciembre, por el que se modifica el Real Decreto 324/2000, de 3 de marzo, por el que se establecen las normas básicas de ordenación de las explotaciones porcinas. Por otrosí interesa, al amparo de lo previsto por el art. 64.3 LOTC, la suspensión de las disposiciones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Primera del Tribunal Constitucional de 5 de junio de 2001 se acordó admitir a trámite el conflicto positivo de competencia promovido por el Gobierno de Aragón en relación con el art. único, apartados 1 y 2 a), del Real Decreto 3483/2000, de 29 de diciembre, por el que se modifica el Real Decreto 324/2000, de 3 de marzo, por el que se establecen las normas básicas de ordenación de las explotaciones porcinas; dar traslado de la demanda y documentos presentados al Gobierno de la Nación, por conducto de su Presidente, al objeto de que en plazo de veinte días y por medio de la representación procesal que determina el art. 82.2 LOTC aporte cuantos documentos y alegaciones considere convenientes; dar audiencia a la representación procesal del promovente del conflicto y al Abogado del Estado para que, en el mismo plazo del traslado, puedan formular alegaciones en relación con la suspensión del Real Decreto 3483/2000 solicitada en el otrosí del escrito de interposición; comunicar la incoación del conflicto a la Sala de lo Contencioso-Administrativo del Tribunal Supremo por si ante la misma estuviera impugnado o se impugnaré el citado precepto, en cuyo caso se suspenderá el curso del proceso hasta la decisión del conflicto, según dispone el art. 61.2 LOTC y, finalmente, publicar la incoación del conflicto en el Boletín Oficial del Estado y en el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el día 3 de julio de 2001, se personó en nombre del Gobierno solicitando la desestimación del conflicto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en el ATC 282/2001, de 30 de octubre, acordó no acceder a la suspensión del artículo único, apartados 1 y 2 a), del Real Decreto 3483/2000, de 29 de diciembre, que modifica el Real Decreto 324/2000, de 3 de marzo, por el que se establecen normas básicas de ordenación de las explotaciones porcinas.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providencia de 18 de febrero de 2010, acordó conceder un plazo de diez días a la representación legal del Gobierno de Aragón y al Abogado del Estado para que alegasen lo oportuno sobre la acumulación al presente conflicto del seguido con el núm. 2679-2001, promovido igualmente por el Gobierno de Aragón, sobre el art. único apartados 1 y 2 a) del Real Decreto 3483/2000, de 29 de diciembre, por el que se modifica el Real Decreto 324/2000, de 3 de marzo, por el que se establecen las normas básicas de ordenación de las explotaciones porcinas.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25 de febrero de 2010 el Abogado del Estado manifestó que no se oponía a la acumulación. Por su parte, la representación procesal del Gobierno de Aragón solicitó, en escrito registrado el día 11 de marzo de 2010, que se acordase la referida acumulación.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relación con su tramitación y decisión unitarias, o, lo que es lo mismo, que la referida conexión justifique la unidad de tramitación y decisión (por todos, ATC 276/2009, de 10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existe entre los conflictos positivos de competencia registrados con los números 3919-2000 y 2679-2001 una indudable conexión que es relevante para su tramitación y decisión unitaria, pues ambos han sido planteados por el Gobierno de Aragón en relación con el Real Decreto 324/2000, de 3 de marzo y su posterior modificación por el Real Decreto 3483/2000, de 29 de diciembre, versando los dos conflictos de competencia sobre el mismo asunto relativo a la normativa básica estatal en materia de ordenación de las explotaciones de ganado porcino, por lo que resulta conveniente acordar su unidad de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el conflicto positivo de competencia núm. 2679-2001 al conflicto positivo de competencia núm. 3919-2000.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