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3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mayo de 2005 tuvo entrada en el Registro General de este Tribunal, con el núm. 3916- 2005, un escrito procedente de la Sección Cuarta de la Audiencia Provincial de Valladolid al que se acompaña, junto al testimonio del correspondiente procedimiento (juicio rápido núm. 36- 2005 y rollo de apelación 238-2005), el Auto de la referida Audiencia de fecha 20 de mayo de 2005 en el que se acuerda plantear cuestión de inconstitucionalidad respecto del art. 57.2 del Código penal (CP) por su posible contradicción con los arts. 1.1 y 10.1 CE, en tanto garantizan la libertad, la dignidad de la persona y el libre desarrollo de la personalidad (art. 10 CE), con la intimidad personal y familiar (art. 18.1), con el derecho a la tutela judicial efectiva (art. 24.1 CE) y con los principios de legalidad y proporcionalidad de las penas (art. 25.1 CE). </w:t>
      </w:r>
    </w:p>
    <w:p w:rsidRPr="00C21FFE" w:rsidR="00AD51A7" w:rsidRDefault="008777C4">
      <w:pPr>
        <w:rPr/>
      </w:pPr>
      <w:r w:rsidRPr="&lt;w:rPr xmlns:w=&quot;http://schemas.openxmlformats.org/wordprocessingml/2006/main&quot;&gt;&lt;w:lang w:val=&quot;es-ES_tradnl&quot; /&gt;&lt;/w:rPr&gt;">
        <w:rPr/>
        <w:t xml:space="preserve">La Sección Cuarta de la Audiencia Provincial de Valladolid ha reiterado ante este Tribunal el mismo planteamiento en las siguientes cuestiones de inconstitucionalidad, con los números de registro y Autos de planteamiento que a continuación se detallan: cuestión de inconstitucionalidad núm. 8820- 2005, Auto de 23 de noviembre de 2005 (procedimiento abreviado núm. 144-2005 y rollo de apelación núm. 652- 2005); cuestión de inconstitucionalidad núm. 6292-2006, Auto de 5 de junio de 2006 (procedimiento abreviado núm. 408- 2005 y rollo de apelación núm. 326-2006); cuestión de inconstitucionalidad 3899-2007, Auto de 18 de abril de 2007 (juicio rápido núm. 394-2006 y rollo de apelación núm. 81-2007); cuestión de inconstitucionalidad núm. 5947-2008, Auto de 9 de julio de 2008 (procedimiento abreviado núm. 47-2009 y rollo de apelación núm. 251-2008) y cuestión de inconstitucionalidad núm. 7433-2008, Auto de 16 de septiembre de 2008 (juicio rápido núm. 60-2008 y rollo de apelación núm. 329-2008).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todos los Autos de planteamiento de la cuestión de inconstitucionalidad se considera que el art. 57.2 del Código penal, en su vigente redacción dada por Ley Orgánica 15/2003, puede ser contrario a los arts. 1.1, 10.1, 18.1, 24.1 y 25.1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acordaron, mediante las providencias respectivas, admitir a trámite las cuestiones que sobre la constitucionalidad del art. 57.2 CP ha planteado la Sección Cuarta de la Audiencia Provincial de Valladolid,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acordó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comunicó en los distintos procedimientos que la Mesa de la Cámara había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comunicó en los distintos procedimientos el Acuerdo de la Mesa de la Cámara por el cual decidió no personarse ni formular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personó en los distintos procedimientos en nombre del Gobierno, solicitando en sus escritos de alegaciones la desestimación de todas las cuestiones.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ha concluido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octubre de 2010, el Pleno de este Tribunal concedió un plazo de diez días al Abogado del Estado y al Fiscal General del Estado para que pudiesen alegar lo que estimaren oportuno sobre la acumulación a la presente cuestión de inconstitucionalidad de las seguidas con los números 8820-2005, 6292-2006, 3899-2007, 5947-2008 y 7433-2008, planteadas también por la Sección Cuarta de la Audiencia Provincial de Valladolid.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21 de octubre de 2010 el Abogado del Estado mostró su criterio favorable a la acumulación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25 de octubre de 2010, el Fiscal General del Estado consideró también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(art. 57.2 del Código penal, en su vigente redacción, dada por Ley Orgánica 15/2003); son los mismos artículos de la Constitución, (1.1, 10, 10.1, 18.1, 24.1 y 25.1), en los que se sustenta la duda de constitucionalidad, utilizando idénticas razones (vulneraciones relacionadas con la idea de libertad, dignidad de las persona y el libre desarrollo de la personalidad, el derecho a la intimidad personal y familiar, a la tutela judicial efectiva y a los principios de legalidad y proporcionalidad penal). Por último, la argumentación que para sostener dicha duda exponen los Autos de planteamiento suscritos por quienes integran la Sección Cuarta de la Audiencia Provincial de Valladolid es plenamente coincidente. Todo ello justifica una tramitación unitaria dirigida a facilitar una resolución coherente de las cuestiones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LEC, en relación con el art. 80 LOTC), por lo que, en el caso presente, procede la acumulación de las cuestiones de inconstitucionalidad núms. 8820-2005, 6292-2006, 3899- 2007, 5947-2008 y 7433-2008 a la cuestión de inconstitucionalidad núm. 3916-2005.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las cuestiones de inconstitucionalidad núms. 8820-2005, 6292-2006, 3899-2007, 5947- 2008 y 7433-2008 a la cuestión de inconstitucionalidad núm. 3916-2005, que seguirán así una misma tramitación hasta su resolución también única por el Pleno,</w:t>
      </w:r>
    </w:p>
    <w:p w:rsidRPr="" w:rsidR="00AD51A7" w:rsidRDefault="008777C4">
      <w:pPr>
        <w:rPr/>
      </w:pPr>
      <w:r w:rsidRPr="&lt;w:rPr xmlns:w=&quot;http://schemas.openxmlformats.org/wordprocessingml/2006/main&quot;&gt;&lt;w:szCs w:val=&quot;24&quot; /&gt;&lt;/w:rPr&gt;">
        <w:rPr/>
        <w:t xml:space="preserve">desde el común estado procesal en que se hallan, 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