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3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9 de marzo de 2009 tuvo entrada en el Registro General de este Tribunal, con el núm. 2155- 2009, un escrito procedente del Juzgado de lo Penal núm. 1 de Mataró al que se acompaña, junto al testimonio del correspondiente procedimiento (procedimiento abreviado núm. 207-2008), el Auto del referido Juzgado de 27 de febrero de 2008 en el que se acuerda plantear cuestión de inconstitucionalidad respecto del art. 57.2 del Código Penal (CP) por su posible contradicción con el contenido de los derechos a la libertad personal, a la libertad de residencia y circulación (arts. 17 y 19, en relación con los arts. 32, 35 y 39 CE) y principio de legalidad y proporcionalidad de las penas (art. 25 CE). </w:t>
      </w:r>
    </w:p>
    <w:p w:rsidRPr="00C21FFE" w:rsidR="00AD51A7" w:rsidRDefault="008777C4">
      <w:pPr>
        <w:rPr/>
      </w:pPr>
      <w:r w:rsidRPr="&lt;w:rPr xmlns:w=&quot;http://schemas.openxmlformats.org/wordprocessingml/2006/main&quot;&gt;&lt;w:lang w:val=&quot;es-ES_tradnl&quot; /&gt;&lt;/w:rPr&gt;">
        <w:rPr/>
        <w:t xml:space="preserve">Mediante Auto de fecha 5 de noviembre de 2009 dictado en el juicio rápido núm. 26-2009, dicho Juzgado ha reiterado ante este Tribunal el mismo planteamiento (cuestión de inconstitucionalidad núm. 9610- 2009).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dichos Autos se considera que el art. 57.2 del Código penal, en su vigente redacción dada por Ley Orgánica 15/2003, puede ser contrario a los arts. 17, 19, 25, 32, 35 y 39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Secciones correspondientes de este Tribunal acordaron, mediante las providencias respectivas, admitir a trámite las cuestiones que sobre la constitucionalidad del art. 57.2 CP ha planteado el Juzgado de lo Penal núm. 1 de Mataró,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pudiesen personarse en el proceso correspondiente y formular las alegaciones que estimen convenientes. En las mismas resoluciones se acordó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comunicó en los distintos procedimientos que la Mesa de la Cámara había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comunicó en los distintos procedimientos que la Mesa de la Cámara había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c) El Abogado del Estado se personó en los distintos procedimientos en nombre del Gobierno, solicitando en sus escritos de alegaciones la desestimación de todas las cuestiones.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ha concluido que el precepto cuestionado no vulnera ninguna norma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octubre de 2010, el Pleno de este Tribunal concedió un plazo de diez días al Abogado del Estado y al Fiscal General del Estado para que pudiesen alegar lo que estimaren oportuno sobre la acumulación a la presente cuestión de inconstitucionalidad de la seguida con el número 9610-2009, planteada también por el Juzgado de lo Penal núm. 1 de Mataró.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21 de octubre de 2010 el Abogado del Estado mostró su criterio favorable a la acumulación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25 de octubre de 2010, el Fiscal General del Estado consideró también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y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mismo (inciso primero del art.  57.2 CP, en su vigente redacción, dada por Ley Orgánica 15/2003); son los mismos artículos de la Constitución (17, 19, 25, 32, 35 y 39), en los que sustenta la duda de constitucionalidad, utilizando idénticas razones (vulneración del derecho a la libertad personal, de elección de residencia y de formar y mantener un núcleo familiar y principio de legalidad y proporcionalidad). Por último, la argumentación que para sostener dicha duda exponen los Autos de planteamiento suscritos por el titular del Juzgado es plenamente coincidente. Todo ello justifica una tramitación unitaria dirigida a facilitar una resolución coherente de las cuestiones planteadas.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de la Ley de enjuiciamiento civil en relación con el art. 80 LOTC), por lo que, en el caso presente, procede la acumulación de la cuestión de inconstitucionalidad núm. 9610-2009 a la cuestión de inconstitucionalidad núm. 2155-2009.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 cuestión de inconstitucionalidad núm. 9610-2009 a la cuestión de inconstitucionalidad núm. 2155-2009, que seguirán así una misma tramitación hasta su resolución también única por el Pleno, desde el común estado procesal en que se hallan,</w:t>
      </w:r>
    </w:p>
    <w:p w:rsidRPr="" w:rsidR="00AD51A7" w:rsidRDefault="008777C4">
      <w:pPr>
        <w:rPr/>
      </w:pPr>
      <w:r w:rsidRPr="&lt;w:rPr xmlns:w=&quot;http://schemas.openxmlformats.org/wordprocessingml/2006/main&quot;&gt;&lt;w:szCs w:val=&quot;24&quot; /&gt;&lt;/w:rPr&gt;">
        <w:rPr/>
        <w:t xml:space="preserve">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