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21 de diciembre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junio de 2010 el Procurador de los Tribunales don Enrique Hernández Tabernilla, en nombre y representación de don Florentino Sánchez Sánchez y doña Rosaura Adriana Castro Órdenes, interpuso recurso de amparo contra la Sentencia de 22 de abril de 2010, dictada por la Sección Primera de la Audiencia Provincial de Ávila, que estimó en parte el recurso de apelación interpuesto contra la Sentencia de 14 de septiembre de 2009 dictada por el Juzgado de lo Penal de Ávila en la causa núm. 64-2007. Asimismo el recurso de amparo impugna la providencia de la misma Sala de 14 de mayo de 2010 que inadmite a trámite el incidente de nulidad promovido contra la Sentencia recaída en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En el Juzgado de Instrucción núm. 1 de Arenas de San Pedro (Ávila) se incoó el procedimiento abreviado 42-2002, por presunto delito de alzamiento de bienes, contra don Florentino Sánchez Sánchez y doña Rosaura Adriana Castro Órdenes, cuyo enjuiciamiento correspondió al Juzgado de lo Penal núm. 1 de Ávila, que en fecha 14 de septiembre de 2009 dictó Sentencia absolviendo a ambos acusados y declarando de oficio las costas causadas. </w:t>
      </w:r>
    </w:p>
    <w:p w:rsidRPr="00C21FFE" w:rsidR="00AD51A7" w:rsidRDefault="008777C4">
      <w:pPr>
        <w:rPr/>
      </w:pPr>
      <w:r w:rsidRPr="&lt;w:rPr xmlns:w=&quot;http://schemas.openxmlformats.org/wordprocessingml/2006/main&quot;&gt;&lt;w:lang w:val=&quot;es-ES_tradnl&quot; /&gt;&lt;/w:rPr&gt;">
        <w:rPr/>
        <w:t xml:space="preserve">b) La Sentencia fue recurrida en apelación por la acusación particular. Por Sentencia de 22 de abril de 2010 la Sección Primera de la Audiencia Provincial de Ávila revocó la Sentencia de instancia y condenó a ambos acusados como autores de un delito consumado de alzamiento de bienes, con la concurrencia de la circunstancia atenuante de dilaciones indebidas, a la pena de sesenta días de multa con una cuota diaria de diez euros y responsabilidad personal subsidiaria de treinta días de privación de libertad para caso de impago y al pago de la mitad de las costas del juicio incluidas las de la acusación particular, declarándose de oficio las costas de la alzada. En concepto de responsabilidad civil la Sentencia decretó la nulidad de la escritura de capitulaciones matrimoniales otorgada en fecha 15 de febrero de 1994 y en la que ambos condenados pactaron el régimen de separación de bienes, liquidaron la sociedad de gananciales y se adjudicaron a doña Rosaura Castro Órdenes, como bien privativo de ésta, el piso vivienda sito en Móstoles (Madrid), calle Mariblanca núm. 6, 2º-A. </w:t>
      </w:r>
    </w:p>
    <w:p w:rsidRPr="00C21FFE" w:rsidR="00AD51A7" w:rsidRDefault="008777C4">
      <w:pPr>
        <w:rPr/>
      </w:pPr>
      <w:r w:rsidRPr="&lt;w:rPr xmlns:w=&quot;http://schemas.openxmlformats.org/wordprocessingml/2006/main&quot;&gt;&lt;w:lang w:val=&quot;es-ES_tradnl&quot; /&gt;&lt;/w:rPr&gt;">
        <w:rPr/>
        <w:t xml:space="preserve">c) Contra dicha Sentencia se interpuso incidente de nulidad de actuaciones alegando la infracción del derecho a un proceso público con todas las garantías, del derecho a la tutela judicial efectiva y del derecho a la inmediación y a la contradicción, todos ellos reconocidos en el art. 24 CE. Por providencia de 14 de mayo de la Audiencia Provincial de Ávila se inadmitió a trámite el referido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consideran que se han vulnerado, primero, sus derechos a un proceso con todas las garantías (art. 24. 2 CE), por cuanto han sido condenados en segunda instancia a partir de una nueva valoración de pruebas de carácter personal; y, segundo, sus derechos de defensa (art. 24.2 CE), porque la Audiencia ha dictado condena sin haberles previamente oído. En apoyo de sus tesis citan expresamente las SSTC 167/2002 y 184/2009. </w:t>
      </w:r>
    </w:p>
    <w:p w:rsidRPr="00C21FFE" w:rsidR="00AD51A7" w:rsidRDefault="008777C4">
      <w:pPr>
        <w:rPr/>
      </w:pPr>
      <w:r w:rsidRPr="&lt;w:rPr xmlns:w=&quot;http://schemas.openxmlformats.org/wordprocessingml/2006/main&quot;&gt;&lt;w:lang w:val=&quot;es-ES_tradnl&quot; /&gt;&lt;/w:rPr&gt;">
        <w:rPr/>
        <w:t xml:space="preserve">Por otrosí en la misma demanda de amparo los recurrentes solicitan la suspensión de la ejecución de la Sentencia, de un modo parcial, en lo que se refiere a sus pronunciamientos civiles, en concreto, a la declaración de nulidad de la escritura de capitulaciones matrimoniales otorgada el 15 de febrero de 2009 y a la declaración de nulidad de la adjudicación de la referida vivienda a doña Rosaura Castro Órdenes como bien privativo de ésta. </w:t>
      </w:r>
    </w:p>
    <w:p w:rsidRPr="00C21FFE" w:rsidR="00AD51A7" w:rsidRDefault="008777C4">
      <w:pPr>
        <w:rPr/>
      </w:pPr>
      <w:r w:rsidRPr="&lt;w:rPr xmlns:w=&quot;http://schemas.openxmlformats.org/wordprocessingml/2006/main&quot;&gt;&lt;w:lang w:val=&quot;es-ES_tradnl&quot; /&gt;&lt;/w:rPr&gt;">
        <w:rPr/>
        <w:t xml:space="preserve">En opinión de los recurrentes en amparo si se ejecutara la Sentencia se podrían adoptar medidas que, de consumarse, serían irreversibles. El razonamiento de los recurrentes guarda relación con un accidente de circulación ocasionado en 1994 por el Sr. Sánchez Sánchez a partir del cual adquirió una responsabilidad penal y civil respecto de un tercero. </w:t>
      </w:r>
    </w:p>
    <w:p w:rsidRPr="00C21FFE" w:rsidR="00AD51A7" w:rsidRDefault="008777C4">
      <w:pPr>
        <w:rPr/>
      </w:pPr>
      <w:r w:rsidRPr="&lt;w:rPr xmlns:w=&quot;http://schemas.openxmlformats.org/wordprocessingml/2006/main&quot;&gt;&lt;w:lang w:val=&quot;es-ES_tradnl&quot; /&gt;&lt;/w:rPr&gt;">
        <w:rPr/>
        <w:t xml:space="preserve">Como señalan los recurrentes, si se procediera a inscribir el inmueble con carácter ganancial en el Registro de la Propiedad podrían embargarse los derechos que sobre el inmueble pertenecen al Sr. Sánchez Sánchez, deudor de la referida indemnización por un delito de imprudencia por el que, en su día, fue condenado. Tal inscripción podría significar asimismo iniciar el procedimiento de apremio sobre el indicado inmueble, e incluso podría suponer la adjudicación a un tercero de la cuota que pudiera corresponder al Sr. Sánchez Sánchez sobre dicho bien. Esta suspensión, por otra parte, no causaría perturbación alguna a intereses ni a derechos de la acusación particular. Subsidiariamente, conforme a lo dispuesto en el art. 56.3 LOTC, los recurrentes solicitan del Tribunal Constitucional que acuerde la anotación preventiva de la demanda en el Registro de la Propiedad de Móstoles.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noviembre de 2010, dictada por la Sala Segunda del Tribunal Constitucional, se acordó admitir a trámite la demanda. Por otra providencia de esa misma fecha la Sala acordó formar la correspondiente pieza separada de suspensión, según lo solicitado por el demandante, y, de conformidad con lo prevenido en el art. 56 de la Ley Orgánica del Tribunal Constitucional, conceder un plazo común de tres días al Ministerio Fiscal y a los solicitantes de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mediante escrito registrado en este Tribunal con fecha de 10 de diciembre de 2010, en el que interesó la denegación de la estimación de la solicitud de suspensión formalizada por la parte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por su parte, presentó escrito de alegaciones el 9 de diciembre de 2010 insistiendo en los argumentos expresados en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y 1/2010, de 11 de enero,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y 12/2009, de 26 de enero). 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w:t>
      </w:r>
    </w:p>
    <w:p w:rsidRPr="00C21FFE" w:rsidR="00AD51A7" w:rsidRDefault="008777C4">
      <w:pPr>
        <w:rPr/>
      </w:pPr>
      <w:r w:rsidRPr="&lt;w:rPr xmlns:w=&quot;http://schemas.openxmlformats.org/wordprocessingml/2006/main&quot;&gt;&lt;w:lang w:val=&quot;es-ES_tradnl&quot; /&gt;&lt;/w:rPr&gt;">
        <w:rPr/>
        <w:t xml:space="preserve">Más concretamente, este Tribunal, entre otros muchos, en los AATC 116/2008, de 28 de abril; 25/2009, de 26 de enero, y 145/2010, de 18 de octubre,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lo cual sucede inter alia en las condenas a penas privativas de libertad (AATC 155/2002, de 16 de septiembre, FJ 3, y 9/2003, de 20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supuesto que aquí se examina de la doctrina referida conduce a denegar la suspensión solicitada, que, como se ha expuesto, se restringe al otorgamiento realizado por la Sentencia de apelación de carácter ganancial al piso vivienda sito en Móstoles (Madrid), calle Mariblanca, núm. 6, 2º-A.</w:t>
      </w:r>
    </w:p>
    <w:p w:rsidRPr="00C21FFE" w:rsidR="00AD51A7" w:rsidRDefault="008777C4">
      <w:pPr>
        <w:rPr/>
      </w:pPr>
      <w:r w:rsidRPr="&lt;w:rPr xmlns:w=&quot;http://schemas.openxmlformats.org/wordprocessingml/2006/main&quot;&gt;&lt;w:lang w:val=&quot;es-ES_tradnl&quot; /&gt;&lt;/w:rPr&gt;">
        <w:rPr/>
        <w:t xml:space="preserve">En primer lugar, ni consta ni los recurrentes aducen que este inmueble constituya su vivienda familiar.  Éstos, por otra parte, no han alegado ni acreditado el carácter irreparable del perjuicio que les supondría la no concesión de la suspensión cautelar interesada (por todos ATC 22/2006, de 30 de enero).</w:t>
      </w:r>
    </w:p>
    <w:p w:rsidRPr="00C21FFE" w:rsidR="00AD51A7" w:rsidRDefault="008777C4">
      <w:pPr>
        <w:rPr/>
      </w:pPr>
      <w:r w:rsidRPr="&lt;w:rPr xmlns:w=&quot;http://schemas.openxmlformats.org/wordprocessingml/2006/main&quot;&gt;&lt;w:lang w:val=&quot;es-ES_tradnl&quot; /&gt;&lt;/w:rPr&gt;">
        <w:rPr/>
        <w:t xml:space="preserve">En segundo lugar, la demanda de amparo tampoco razona que el inmueble en cuestión sea el único bien con el que el Sr. Sánchez Sánchez pueda hacer frente a la responsabilidad civil por delito de imprudencia que aún le resta abonar. En relación con este extremo la petición de suspensión se fundamenta en una mera eventualidad (el posible embargo del inmueble y la posible adjudicación de la cuota del Sr.  Sánchez Sánchez sobre dicho bien a un tercero) sin carácter inminente alguno. Por lo demás la afirmación de que la suspensión de la ejecución no causaría perjuicio a los intereses de la acusación particular debe tenerse por meramente retórica.</w:t>
      </w:r>
    </w:p>
    <w:p w:rsidRPr="00C21FFE" w:rsidR="00AD51A7" w:rsidRDefault="008777C4">
      <w:pPr>
        <w:rPr/>
      </w:pPr>
      <w:r w:rsidRPr="&lt;w:rPr xmlns:w=&quot;http://schemas.openxmlformats.org/wordprocessingml/2006/main&quot;&gt;&lt;w:lang w:val=&quot;es-ES_tradnl&quot; /&gt;&lt;/w:rPr&gt;">
        <w:rPr/>
        <w:t xml:space="preserve">No procede, por ello, la suspensión de la ejecución de los pronunciamientos civiles de la Sentencia recurrida en amparo ni acceder a la petición subsidiaria de la anotación preventiva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de la ejecución de la Sentencia de la Sección Primera de la Audiencia Provincial de Ávila, de 22 de abril de 2010, recaída en el recurso de apelación núm. 82-2010, y de la providencia de la misma Sala de 14 de mayo de 2010 que</w:t>
      </w:r>
    </w:p>
    <w:p w:rsidRPr="" w:rsidR="00AD51A7" w:rsidRDefault="008777C4">
      <w:pPr>
        <w:rPr/>
      </w:pPr>
      <w:r w:rsidRPr="&lt;w:rPr xmlns:w=&quot;http://schemas.openxmlformats.org/wordprocessingml/2006/main&quot;&gt;&lt;w:szCs w:val=&quot;24&quot; /&gt;&lt;/w:rPr&gt;">
        <w:rPr/>
        <w:t xml:space="preserve">inadmite el incidente de nulidad promovido contra la primera.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