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11 de septiembre de 2007, el Procurador de los Tribunales don Luis José García Barrenechea, en representación de don José Luis Peña Domingo y don Juan José Moreno Alonso, presentó recurso de amparo contra la Sentencia de 10 de julio de 2007 de la Sección Novena de la Sala de lo Contencioso-Administrativo del Tribunal Superior de Justicia de Madrid, recaída en el recurso de apelación núm. 124-2007 interpuesto contra Sentencia del Juzgado de lo Contencioso-Administrativo núm. 16 de Madrid de 27 de noviembre de 2006, dictada en el procedimiento de protección de derechos fundamentales núm. 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especial de cuentas del Ayuntamiento de Majadahonda a la sesión de la referida comisión informativa a celebrar el día 27 de julio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16 de Madrid de 27 de noviembre de 2006 (procedimiento de protección de derechos fundamentales núm. 4-06). Contra esta Sentencia interpusieron los demandantes recurso de apelación, que fue desestimado por Sentencia de 10 de julio de 2007 de la Sección Novena de la Sala de lo Contencioso-Administrativo del Tribunal Superior de Justicia de Madrid (recurso de apelación núm. 124-2007).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de la Ley Orgánica del Tribunal Constitucional: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