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8 de enero de 2008, el Procurador de los Tribunales don Luis José García Barrenechea, en representación de don José Luis Peña Domingo y don Juan José Moreno Alonso, presentó recurso de amparo contra la Sentencia de 29 de noviembre de 2007 de la Sección Novena de la Sala de lo Contencioso-Administrativo del Tribunal Superior de Justicia de Madrid, recaída en el recurso de apelación núm. 485-2007 interpuesto contra Sentencia del Juzgado de lo Contencioso-Administrativo núm. 4 de Madrid de 9 de abril de 2007, dictada en el procedimiento de protección de derechos fundamentales núm. 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régimen interior del Ayuntamiento de Majadahonda a la sesión de la referida comisión informativa a celebrar el día 23 de octubre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4 de Madrid de 9 de abril de 2007 (procedimiento de protección de derechos fundamentales núm. 5-2006). Contra esta Sentencia interpusieron los demandantes recurso de apelación, que fue desestimado por Sentencia de 29 de noviembre de 2007 de la Sección Novena de la Sala de lo Contencioso-Administrativo del Tribunal Superior de Justicia de Madrid (recurso de apelación núm. 485-2007).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