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 de febrero de 2008, el Procurador de los Tribunales don Luis José García Barrenechea, en representación de don José Luis Peña Domingo y don Juan José Moreno Alonso, presentó recurso de amparo contra la Sentencia de 20 de diciembre de 2007 de la Sección Novena de la Sala de lo Contencioso-Administrativo del Tribunal Superior de Justicia de Madrid, recaída en el recurso de apelación núm. 642-2007 interpuesto contra Sentencia del Juzgado de lo Contencioso-Administrativo núm. 13 de Madrid de 18 de junio de 2007, dictada en el procedimiento de protección de derechos fundamentales núm. 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asuntos económicos del Ayuntamiento de Majadahonda a la sesión de la referida comisión informativa a celebrar el día 26 de diciembre de 2006,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13 de Madrid de 18 de junio de 2007 (procedimiento de protección de derechos fundamentales núm. 1-2007). Contra esta Sentencia interpusieron los demandantes recurso de apelación, que fue desestimado por Sentencia de 20 de diciembre de 2007 de la Sección Novena de la Sala de lo Contencioso-Administrativo del Tribunal Superior de Justicia de Madrid (recurso de apelación núm. 642-2007).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