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Decano de Madrid el 16 de diciembre de 2009, recibido en el Registro General de este Tribunal el 23 de diciembre del mismo año, don José María Pérez Díaz, representado por el Procurador de los Tribunales don Javier Cuevas Rivas y asistido por la Letrada doña Ainhoa Baglietto Gabilondo, interpuso recurso de amparo contra el Auto dictado por la Sección Segunda de la Sala de lo Penal de la Audiencia Nacional el 11 de diciembre de 2008, extendiendo el amparo frente al Auto de 22 de octubre de 2009 del Tribunal Supremo por el que se acordó no haber lugar al recurso de casación planteado frente a la resolución dictada por la Audiencia Nacional y frente a la providencia que rechazó el incidente de nulidad intentado contra el Auto dictado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b) El 11 de diciembre 2008 la Sección Segunda de la Sala de lo Penal de la Audiencia Nacional dictó Auto aprobando el licenciamiento definitivo del penado para el día 16 de noviembre de 2017, rechazando así la propuesta formulada por el centro penitenciario en el que se encontraba cumpliendo la condena, que proponía su licenciamiento definitivo para el día 15 de diciembre de 2008; se sustentaba la decisión de la Audiencia Nacional en el criterio iniciado por la Sala de lo Penal del Tribunal Supremo con la Sentencia197/2006,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cuanto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marzo de 2011 la Sala Segunda de este Tribunal acordó la admisión a trámite de la demanda de amparo, así como, a tenor de lo establecido en el art. 51 de la Ley Orgánica del Tribunal Constitucional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11 de marzo de 2011,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16 de marzo de 2011, el Ministerio Fiscal pide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el recurrente en amparo impugna el Auto de la Sección Segunda de la Sala de lo Penal de la Audiencia Nacional de 11 de diciembre de 2008 -que rechazó el licenciamiento definitivo propuesto por el centro penitenciario-. De modo que la resolución judicial recurrida en amparo no es aquélla que impuso la pena privativa de libertad sino las que rechazaron aprobar la citada propuesta de licenciamiento definitivo; y ello en aplicación del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15 de diciembre de 2008 (según sostiene de consuno con la propuesta de licenciamiento inicialmente formulada por el centro penitenciario) o si, en cambio, no la extingue hasta el día 16 de noviembre de 2017 (como es el criterio de la resolución de la Audiencia Nacional impugnada),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José María Pérez Díaz en el recurso de amparo núm. 10651-2009.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