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febrero de 2011 tuvo entrada en el Registro General de este Tribunal un escrito de la Sala de lo Social de la Audiencia Nacional, al que se acompaña, junto con el testimonio del procedimiento núm. 175-2010, el Auto de 29 de diciembre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Federación de servicios de la Unión General de Trabajadores (FES-UGT) presentó el día 4 de octubre de 2010 ante la Sala de lo Social de la Audiencia Nacional demanda de conflicto colectivo contra Fraternidad-Muprespa, Matepss núm. 275, en la que, como pretensión principal solicitaba que se declarara el derecho de los trabajadores de Fraternidad-Muprespa sujetos al convenio colectivo general de ámbito estatal para las entidades de seguros, reaseguros y mutuas de accidentes de trabajo, años 2008 a 2011, a percibir íntegramente las retribuciones conforme a las tablas salariales de 2010, y, como pretensión subsidiaria, que se reconociera y declarara la obligación de Fraternidad-Muprespa de negociar y acordar con la representación legal de los trabajadores la distribución y aplicación individual de la reducción salarial prevista en el Real Decreto-ley 8/2010. Igualmente solicitaba, como pretensión previa, que se planteara cuestión de inconstitucionalidad de los siguientes artículos del Real Decreto-ley 8/2010: art. 1, apartado dos, en la nueva redacción que se da del apartado dos del art. 22 de la Ley de presupuestos generales del Estado para 2010, epígrafes A) y B); art. 1 apartado 4, en la nueva redacción que se da al art. 25 de la Ley de presupuestos generales del Estado para 2010, apartados Dos. B), Tres y Cuatro; y disposición adicional tercera. </w:t>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dictó providencia el 26 de noviembre de 2010 por la que, cumpliendo lo dispuesto en el art. 163 CE, en relación con el art. 5, 2 y 3 de la Ley Orgánica del Poder Judicial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promovida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c) En el trámite de alegaciones presentaron las suyas tanto el demandante UGT como CC OO, en condición de parte interesada, la demandada Fraternidad-Muprespa y el Ministerio Fiscal. Los sindicatos manifestaron su opinión favorable al planteamiento de la cuestión de inconstitucionalidad. El Ministerio Fiscal, por el contrario, se manifestó en contra, remitiéndose a las alegaciones ya efectuadas con ocasión de un procedimiento anterior seguido ante la misma Sala y por idénticos motivos (autos 128- 2010, 132-2010, y 145-2010). Por su parte, Fraternidad-Muprespa, aun oponiéndose a la demanda, dado que las reducciones retributivas controvertidas derivaban de la aplicación del Real Decreto- ley 8/2010, no se opuso expresamente a la elevación de la cuestión de inconstitucionalidad, pero señaló que las mutuas de accidentes de trabajo y enfermedades profesionales son entidades privadas que no deberían verse afectadas en sus relaciones laborales por la ley presupuestaria. </w:t>
      </w:r>
    </w:p>
    <w:p w:rsidRPr="00C21FFE" w:rsidR="00AD51A7" w:rsidRDefault="008777C4">
      <w:pPr>
        <w:rPr/>
      </w:pPr>
      <w:r w:rsidRPr="&lt;w:rPr xmlns:w=&quot;http://schemas.openxmlformats.org/wordprocessingml/2006/main&quot;&gt;&lt;w:lang w:val=&quot;es-ES_tradnl&quot; /&gt;&lt;/w:rPr&gt;">
        <w:rPr/>
        <w:t xml:space="preserve">d) La Sala de lo Social de la Audiencia Nacional dictó el Auto de 29 de diciembre de 2010 por el que se acuerda elevar cuestión de inconstitucionalidad ante el Tribunal Constitucional para que “resuelva si la redacción de los arts. 22.4 y 25 de la Ley 26/2009, de 23 de diciembre, de Presupuestos Generales del Estado para 2010, promovida por el art. 1 del RDL 8/2010, de 20 de mayo, por el que se adoptan medidas extraordinarias para la reducción del déficit público, aplicables a los trabajadores de la empresa demandada de conformidad con lo dispuesto en la disposición adicional tercera de dicho Decreto-ley, ha vulnerado o no el contenido esencial del derecho de libertad sindical, regulado en los arts. 7 y 28.1 CE, en relación con el derecho de negociación colectiva, regulado en el art. 37.1 CE, al dejar sin efecto las retribuciones pactadas en el Convenio Colectivo General de ámbito estatal de Entidades de Seguro, Reaseguro y Mutuas de Accidentes de Trabajo”, así como para que “resuelva si la Disposición Adicional 9ª del RDL 8/2010, de 20 de mayo, ha vulnerado o no el derecho de igualdad, contenido en el art. 14 CE, al tratar de modo desigual al personal laboral no directivo de Fraternidad- Muprespa respecto al personal laboral no directivo de RENFE, ADIF Y AENA”.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29 de diciembre de 2010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En efecto, acreditado que Fraternidad- Muprespa abonó las retribuciones pactadas en el convenio hasta la entrada en vigor del Real Decreto- ley 8/2010, momento en que procedió a reducir las retribuciones acomodándose a las resoluciones de la Dirección General de Ordenación de la Seguridad Social de 2 y 17 de junio de 2010, apoyadas a su vez en la disposición adicional tercera del Real Decreto-ley 8/2010, se hace evidente que es la nueva redacción de los arts. 22.4 y 25 de la Ley de presupuestos generales del Estado para 2010, producida por el Real Decreto-ley 8/2010, el obstáculo que impide efectivamente el mantenimiento de las retribuciones pactadas convencionalmente, al haber reducido los preceptos reiterados la masa salarial de Fraternidad- Muprespa.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 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Fraternidad- Muprespa respecto de los trabajadores de RENFE, ADIF y AENA, la consecuencia jurídica sería necesariamente la extensión a aquéllos de lo previsto para éstos.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pudiéndose olvidar tampoco que las mutuas de accidentes de trabajo son entidades privadas, cuya financiación no depende de los presupuestos generales del Estado, de manera que el sacrificio impuesto a sus trabajadores no revertirá en la reducción del déficit público sino en el incremento de los beneficios de la entidad pública empresarial,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marzo de 2011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25 de marzo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26 de noviembre de 2010 y sobre el que las partes no hicieron alegación alguna.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entidad pública empresarial Fraternidad-Muprespa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