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marzo de 2011 tuvo entrada en el Registro General de este Tribunal un oficio de la Sala de lo Social de la Audiencia Nacional, acompañado de un testimonio del procedimiento núm. 232- 2010 (al que se acumuló el núm. 6-2011) del que forma parte el Auto de 28 de febrero de 2011,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Federación de servicios públicos de la Unión General de Trabajadores (UGT) presentó el día 8 de noviembre 2010 demanda de tutela de derechos fundamentales contra la Agencia Estatal de la Administración Tributaria (AEAT)en la que solicitaba que se dictara Sentencia por la que se condenara a la Agencia Estatal de la Administración Tributaria a reconocer que las retribuciones a percibir por todo el personal laboral de la Agencia Estatal de la Administración Tributaria en los meses de junio de 2010 y sucesivos fueran las mismas que las que venían percibiendo hasta el referido mes de junio de 2010, dejara sin efecto las reducciones retributivas efectuadas por la AEAT y retrotrajera la situación al momento existente previo a la referida aplicación unilateral. </w:t>
      </w:r>
    </w:p>
    <w:p w:rsidRPr="00C21FFE" w:rsidR="00AD51A7" w:rsidRDefault="008777C4">
      <w:pPr>
        <w:rPr/>
      </w:pPr>
      <w:r w:rsidRPr="&lt;w:rPr xmlns:w=&quot;http://schemas.openxmlformats.org/wordprocessingml/2006/main&quot;&gt;&lt;w:lang w:val=&quot;es-ES_tradnl&quot; /&gt;&lt;/w:rPr&gt;">
        <w:rPr/>
        <w:t xml:space="preserve">b) La Federación de servicios a la ciudadanía de Comisiones Obreras (CC OO) presentó el 23 de Noviembre de 2010 demanda de tutela de derechos fundamentales contra el mismo organismo público, en la que solicitaba que se dictara Sentencia en la que se declare que en función de lo establecido en el IV convenio único para el personal laboral de la Administración general del Estado, las retribuciones a percibir por los trabajadores en los meses de junio de 2010 y sucesivos han de ser las mismas que las que percibían hasta entonces, dejara sin efecto las reducciones retributivas efectuadas por la AEAT y retrotrajera la situación al momento existente previo a la referida aplicación unilateral. Subsidiariamente solicitó que se declarase que las retribuciones a percibir por los trabajadores de la AEAT a quienes es de aplicación el IV convenio, en los meses de junio de 2010 y sucesivos, han de ser las mismas que las que venían percibiendo hasta el 31 de diciembre de 2009, al no resultar a partir de este momento de aplicación la subida salarial para 2010. </w:t>
      </w:r>
    </w:p>
    <w:p w:rsidRPr="00C21FFE" w:rsidR="00AD51A7" w:rsidRDefault="008777C4">
      <w:pPr>
        <w:rPr/>
      </w:pPr>
      <w:r w:rsidRPr="&lt;w:rPr xmlns:w=&quot;http://schemas.openxmlformats.org/wordprocessingml/2006/main&quot;&gt;&lt;w:lang w:val=&quot;es-ES_tradnl&quot; /&gt;&lt;/w:rPr&gt;">
        <w:rPr/>
        <w:t xml:space="preserve">c) Por Auto de 20 de enero de 2011 la Sala de lo Social de la Audiencia Nacional acordó acumular al procedimiento núm. 232-2010 la demanda registrada bajo el núm. 6-2011. </w:t>
      </w:r>
    </w:p>
    <w:p w:rsidRPr="00C21FFE" w:rsidR="00AD51A7" w:rsidRDefault="008777C4">
      <w:pPr>
        <w:rPr/>
      </w:pPr>
      <w:r w:rsidRPr="&lt;w:rPr xmlns:w=&quot;http://schemas.openxmlformats.org/wordprocessingml/2006/main&quot;&gt;&lt;w:lang w:val=&quot;es-ES_tradnl&quot; /&gt;&lt;/w:rPr&gt;">
        <w:rPr/>
        <w:t xml:space="preserve">d) Concluso el procedimiento y dentro del plazo para dictar Sentencia, la Sala dictó providencia el 21 de enero de 2011 por la que, en cumplimiento del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Pr="00C21FFE" w:rsidR="00AD51A7" w:rsidRDefault="008777C4">
      <w:pPr>
        <w:rPr/>
      </w:pPr>
      <w:r w:rsidRPr="&lt;w:rPr xmlns:w=&quot;http://schemas.openxmlformats.org/wordprocessingml/2006/main&quot;&gt;&lt;w:lang w:val=&quot;es-ES_tradnl&quot; /&gt;&lt;/w:rPr&gt;">
        <w:rPr/>
        <w:t xml:space="preserve">e) El 2 de febrero de 2011 la Central Sindical Independiente y de Funcionarios (CSI-CSIF) presentó su escrito de alegaciones en el que manifestaba su conformidad con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f) La Federación de servicios de la ciudadanía de Comisiones Obreras formuló sus alegaciones por escrito presentado el 8 de febrero de 2011 solicitando el planteamiento de la cuestión de inconstitucionalidad, por posible vulneración de los arts. 86, 28.1, 37.1 y 14 CE. </w:t>
      </w:r>
    </w:p>
    <w:p w:rsidRPr="00C21FFE" w:rsidR="00AD51A7" w:rsidRDefault="008777C4">
      <w:pPr>
        <w:rPr/>
      </w:pPr>
      <w:r w:rsidRPr="&lt;w:rPr xmlns:w=&quot;http://schemas.openxmlformats.org/wordprocessingml/2006/main&quot;&gt;&lt;w:lang w:val=&quot;es-ES_tradnl&quot; /&gt;&lt;/w:rPr&gt;">
        <w:rPr/>
        <w:t xml:space="preserve">g) La Federación de servicios públicos de la Unión General de Trabajadores presentó alegaciones mediante escrito registrado el 8 de febrero de 2011, solicitando el planteamiento de la cuestión de inconstitucionalidad en virtud de los argumentos expuestos en su escrito de demanda, a los que se remite. </w:t>
      </w:r>
    </w:p>
    <w:p w:rsidRPr="00C21FFE" w:rsidR="00AD51A7" w:rsidRDefault="008777C4">
      <w:pPr>
        <w:rPr/>
      </w:pPr>
      <w:r w:rsidRPr="&lt;w:rPr xmlns:w=&quot;http://schemas.openxmlformats.org/wordprocessingml/2006/main&quot;&gt;&lt;w:lang w:val=&quot;es-ES_tradnl&quot; /&gt;&lt;/w:rPr&gt;">
        <w:rPr/>
        <w:t xml:space="preserve">h) El Abogado del Estado, en representación de la Agencia Estatal de la Administración Tributaria, por escrito de 15 de febrero de 2011, manifestó su criterio contrario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i) El Ministerio Fiscal formuló su escrito de alegaciones con fecha 22 de febrero de 2011, remitiéndose íntegramente al presentado el 22 de octubre de 2010 en relación con los autos de conflicto colectivo acumulados 128-2010, 132-2010 y 145-2010, por tratarse de una cuestión jurídica idéntica a la planteada en aquellos procedimientos, no estimando procedente el planteamiento de la cuestión de inconstitucionalidad [ATC 85/2011, de 7 de junio, antecedente 2 k)]. </w:t>
      </w:r>
    </w:p>
    <w:p w:rsidRPr="00C21FFE" w:rsidR="00AD51A7" w:rsidRDefault="008777C4">
      <w:pPr>
        <w:rPr/>
      </w:pPr>
      <w:r w:rsidRPr="&lt;w:rPr xmlns:w=&quot;http://schemas.openxmlformats.org/wordprocessingml/2006/main&quot;&gt;&lt;w:lang w:val=&quot;es-ES_tradnl&quot; /&gt;&lt;/w:rPr&gt;">
        <w:rPr/>
        <w:t xml:space="preserve">j) Finalmente, la Sala de lo Social de la Audiencia Nacional dictó el Auto de 28 de febrero de 2011 por el que se acuerda elevar cuestión de inconstitucionalidad ante este Tribunal Constitucional para que “resuelva si la redacción de los artículos 22.4 y 25 de la Ley 26/2009, de 23 de diciembre, de Presupuestos Generales del Estado para 2010, promovida por el art. 1 del RDL 8/2010, de 20 de mayo, por el que se adoptan medidas extraordinarias para la reducción del déficit público, ha vulnerado o no el contenido esencial del derecho de libertad sindical, regulado en los artículos 7 y 28.1 CE, en relación con el derecho de negociación colectiva, regulado en el artículo 37.1 CE”; así como para que “resuelva si la Disposición Adicional 9ª del RDL 8/2010, de 20 de mayo, ha vulnerado o no el derecho de igualdad, contenido en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28 de febrero de 2011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pues, acreditado que la Agencia Estatal de la Administración Tributaria abonó los salarios pactados convencionalmente hasta la entrada en vigor del Real Decreto-ley 8/2010, se hace evidente que es la nueva redacción de los preceptos cuestionados el obstáculo que impide el mantenimiento de las retribuciones pactadas en el IV convenio de la AEAT, así como el mantenimiento de las retribuciones consolidadas a fecha 31 de diciembre de 2009, al haber reducido los preceptos reiterados la masa salarial del organismo. </w:t>
      </w:r>
    </w:p>
    <w:p w:rsidRPr="00C21FFE" w:rsidR="00AD51A7" w:rsidRDefault="008777C4">
      <w:pPr>
        <w:rPr/>
      </w:pPr>
      <w:r w:rsidRPr="&lt;w:rPr xmlns:w=&quot;http://schemas.openxmlformats.org/wordprocessingml/2006/main&quot;&gt;&lt;w:lang w:val=&quot;es-ES_tradnl&quot; /&gt;&lt;/w:rPr&gt;">
        <w:rPr/>
        <w:t xml:space="preserve">Tras ello, comienza la Sala su análisis sobre la concurrencia de los requisitos exigidos por el art. 86.1 CE para la validez de los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CE,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la Agencia Estatal de la Administración Tributaria respecto de los trabajadores de RENFE, ADIF y AENA, la consecuencia jurídica sería necesariamente la extensión a aquéllos de lo previsto para éstos. </w:t>
      </w:r>
    </w:p>
    <w:p w:rsidRPr="00C21FFE" w:rsidR="00AD51A7" w:rsidRDefault="008777C4">
      <w:pPr>
        <w:rPr/>
      </w:pPr>
      <w:r w:rsidRPr="&lt;w:rPr xmlns:w=&quot;http://schemas.openxmlformats.org/wordprocessingml/2006/main&quot;&gt;&lt;w:lang w:val=&quot;es-ES_tradnl&quot; /&gt;&lt;/w:rPr&gt;">
        <w:rPr/>
        <w:t xml:space="preserve">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mayo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 de junio de 2011, en el que considera que, efectivamente,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29 de octubre de 2010 y sobre el que la Confederación General del Trabajo no hizo alegación alguna. </w:t>
      </w:r>
    </w:p>
    <w:p w:rsidRPr="00C21FFE" w:rsidR="00AD51A7" w:rsidRDefault="008777C4">
      <w:pPr>
        <w:rPr/>
      </w:pPr>
      <w:r w:rsidRPr="&lt;w:rPr xmlns:w=&quot;http://schemas.openxmlformats.org/wordprocessingml/2006/main&quot;&gt;&lt;w:lang w:val=&quot;es-ES_tradnl&quot; /&gt;&lt;/w:rPr&gt;">
        <w:rP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aquéllos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CE,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Pr="00C21FFE" w:rsidR="00AD51A7" w:rsidRDefault="008777C4">
      <w:pPr>
        <w:rPr/>
      </w:pPr>
      <w:r w:rsidRPr="&lt;w:rPr xmlns:w=&quot;http://schemas.openxmlformats.org/wordprocessingml/2006/main&quot;&gt;&lt;w:lang w:val=&quot;es-ES_tradnl&quot; /&gt;&lt;/w:rPr&gt;">
        <w:rPr/>
        <w:t xml:space="preserve">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Agencia Estatal de la Administración Tributaria (ATC 85/2011, de 7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