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28 de septiembre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14 de febrero de 2003, más de cincuenta Diputados del Grupo Parlamentario Socialista del Congreso de los Diputados promovieron recurso de inconstitucionalidad en relación con el art. 8, apartado decimoséptimo, de la Ley 44/2002, de 22 de noviembre, de medidas de reforma del sistema financiero, que declara básicos el art. 2, apartado 3, los arts. 9, 15 y 17 y la disposición adicional segunda de la Ley 31/1985, de 2 de agosto, de regulación de las normas básicas sobre órganos rectores de las cajas de ahorros, y el art. 8, apartado decimoquinto, de la misma Ley 44/2002, por el que se modifica la disposición adicional segunda de la Ley 31/1985.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recurso fue tramitado con el número 845-2003 y resuelto, una vez cumplidos los trámites procesales, por la STC 138/2011, de 14 de septiembre, cuya parte dispositiva es del siguiente tenor: </w:t>
      </w:r>
    </w:p>
    <w:p w:rsidRPr="00C21FFE" w:rsidR="00AD51A7" w:rsidRDefault="008777C4">
      <w:pPr>
        <w:rPr/>
      </w:pPr>
      <w:r w:rsidRPr="&lt;w:rPr xmlns:w=&quot;http://schemas.openxmlformats.org/wordprocessingml/2006/main&quot;&gt;&lt;w:lang w:val=&quot;es-ES_tradnl&quot; /&gt;&lt;/w:rPr&gt;">
        <w:rPr/>
        <w:t xml:space="preserve">“1. Declarar que las Comunidades Autónomas son competentes, en los términos recogidos en sus Estatutos de Autonomía, en materia de organización interna de las cajas de ahorros fundadas por la Iglesia Católica, competencia que es la misma que tienen respecto de las demás cajas de ahorros, y siempre sometida, claro está, a lo dispuesto en la legislación básica estatal sobre dicha materia. </w:t>
      </w:r>
    </w:p>
    <w:p w:rsidRPr="00C21FFE" w:rsidR="00AD51A7" w:rsidRDefault="008777C4">
      <w:pPr>
        <w:rPr/>
      </w:pPr>
      <w:r w:rsidRPr="&lt;w:rPr xmlns:w=&quot;http://schemas.openxmlformats.org/wordprocessingml/2006/main&quot;&gt;&lt;w:lang w:val=&quot;es-ES_tradnl&quot; /&gt;&lt;/w:rPr&gt;">
        <w:rPr/>
        <w:t xml:space="preserve">2. Declarar la pérdida parcial de objeto del recurso en relación con el art. 8, apartado decimoséptimo, de la Ley 44/2002, que confiere carácter básico a los arts. 9 y 17 de la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Desestimar el recurso en todo lo demás.” </w:t>
      </w:r>
    </w:p>
    <w:p w:rsidRPr="00C21FFE" w:rsidR="00AD51A7" w:rsidRDefault="008777C4">
      <w:pPr>
        <w:rPr/>
      </w:pPr>
      <w:r w:rsidRPr="&lt;w:rPr xmlns:w=&quot;http://schemas.openxmlformats.org/wordprocessingml/2006/main&quot;&gt;&lt;w:lang w:val=&quot;es-ES_tradnl&quot; /&gt;&lt;/w:rPr&gt;">
        <w:rPr/>
        <w:t xml:space="preserve">El inciso primero del fallo reproducido coincide en su literalidad con el párrafo final del fundamento jurídico 4 y último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Advertida la existencia de error material en el apartado primero del fallo de la Sentencia de 14 de septiembre, este Tribunal procede, de conformidad con lo previsto en el art. 80 de la Ley Orgánica del Tribunal Constitucional, en relación con el</w:t>
      </w:r>
    </w:p>
    <w:p w:rsidRPr="00C21FFE" w:rsidR="00AD51A7" w:rsidRDefault="008777C4">
      <w:pPr>
        <w:rPr/>
      </w:pPr>
      <w:r w:rsidRPr="&lt;w:rPr xmlns:w=&quot;http://schemas.openxmlformats.org/wordprocessingml/2006/main&quot;&gt;&lt;w:lang w:val=&quot;es-ES_tradnl&quot; /&gt;&lt;/w:rPr&gt;">
        <w:rPr/>
        <w:t xml:space="preserve">art. 267 de la Ley Orgánica del Poder Judicial, a su corrección, en los términos que seguidamente se precisan.</w:t>
      </w:r>
    </w:p>
    <w:p w:rsidRPr="00C21FFE" w:rsidR="00AD51A7" w:rsidRDefault="008777C4">
      <w:pPr>
        <w:rPr/>
      </w:pPr>
      <w:r w:rsidRPr="&lt;w:rPr xmlns:w=&quot;http://schemas.openxmlformats.org/wordprocessingml/2006/main&quot;&gt;&lt;w:lang w:val=&quot;es-ES_tradnl&quot; /&gt;&lt;/w:rPr&gt;">
        <w:rPr/>
        <w:t xml:space="preserve">Donde dice: “1. Declarar que las Comunidades Autónomas son competentes, en los términos recogidos en sus Estatutos de Autonomía, en materia de organización interna de las cajas de ahorros fundadas por la Iglesia Católica, competencia que es la misma que tienen respecto de las demás cajas de ahorros, y siempre sometida, claro está, a lo dispuesto en la legislación básica estatal sobre dicha materia.”, debe decir: “1. Estimar parcialmente el presente recurso de inconstitucionalidad y, en consecuencia, declarar que las Comunidades Autónomas son competentes, en los términos recogidos en sus Estatutos de Autonomía, en materia de organización interna de las cajas de ahorros fundadas por la Iglesia Católica, siempre con sumisión a lo dispuesto en la legislación básica estatal sobre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el error padecido en el inciso primero del fallo de la STC 138/2011, de 14 de septiembre, en los siguientes términos: “Estimar parcialmente el presente recurso de inconstitucionalidad y, en consecuencia, declarar que las Comunidades Autónomas son competentes, en los términos recogidos en sus Estatutos de Autonomía, en materia de organización interna de las cajas de ahorros fundadas por la Iglesia Católica, siempre con sumisión a lo dispuesto en la legislación básica estatal sobre la materia.”.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